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after="40" w:before="0" w:line="254" w:lineRule="auto"/>
        <w:jc w:val="center"/>
      </w:pPr>
      <w:r>
        <w:rPr>
          <w:rFonts w:ascii="Arial" w:hAnsi="Arial" w:eastAsia="Arial" w:cs="Arial"/>
          <w:b/>
          <w:i w:val="0"/>
          <w:sz w:val="30"/>
        </w:rPr>
        <w:t>REGULAMENT DE SELECȚIE A CANDIDAȚILOR</w:t>
      </w:r>
    </w:p>
    <w:p>
      <w:pPr>
        <w:keepNext w:val="0"/>
        <w:spacing w:after="20" w:before="0" w:line="254" w:lineRule="auto"/>
        <w:jc w:val="center"/>
      </w:pPr>
      <w:r>
        <w:rPr>
          <w:rFonts w:ascii="Arial" w:hAnsi="Arial" w:eastAsia="Arial" w:cs="Arial"/>
          <w:b/>
          <w:i w:val="0"/>
          <w:sz w:val="23"/>
        </w:rPr>
        <w:t>Școala de Performanță și Excelență TAK</w:t>
      </w:r>
    </w:p>
    <w:p>
      <w:pPr>
        <w:keepNext w:val="0"/>
        <w:spacing w:after="120" w:before="0" w:line="254" w:lineRule="auto"/>
        <w:jc w:val="center"/>
      </w:pPr>
      <w:r>
        <w:rPr>
          <w:rFonts w:ascii="Arial" w:hAnsi="Arial" w:eastAsia="Arial" w:cs="Arial"/>
          <w:b w:val="0"/>
          <w:i/>
          <w:color w:val="555555"/>
          <w:sz w:val="18"/>
        </w:rPr>
        <w:t>Versiune de lucru | Chișinău, 2026</w:t>
      </w:r>
    </w:p>
    <w:p>
      <w:pPr>
        <w:keepNext w:val="0"/>
        <w:spacing w:after="100" w:before="0" w:line="254" w:lineRule="auto"/>
        <w:jc w:val="both"/>
      </w:pPr>
      <w:r>
        <w:rPr>
          <w:rFonts w:ascii="Arial" w:hAnsi="Arial" w:eastAsia="Arial" w:cs="Arial"/>
          <w:b w:val="0"/>
          <w:i w:val="0"/>
          <w:sz w:val="20"/>
        </w:rPr>
        <w:t>Prezentul Regulament stabilește criteriile, etapele, punctajele și procedurile aplicabile selecției candidaților și acordării burselor în cadrul Școlii de Performanță și Excelență TAK. Regulamentul se aplică tuturor candidaților în aceleași condiții și este publicat înainte de deschiderea perioadei de aplicare.</w:t>
      </w:r>
    </w:p>
    <w:p>
      <w:pPr>
        <w:keepNext/>
        <w:spacing w:after="50" w:before="120" w:line="254" w:lineRule="auto"/>
      </w:pPr>
      <w:r>
        <w:rPr>
          <w:rFonts w:ascii="Arial" w:hAnsi="Arial" w:eastAsia="Arial" w:cs="Arial"/>
          <w:b/>
          <w:i w:val="0"/>
          <w:sz w:val="23"/>
        </w:rPr>
        <w:t>1. Principiile selecției</w:t>
      </w:r>
    </w:p>
    <w:p>
      <w:pPr>
        <w:keepNext w:val="0"/>
        <w:spacing w:after="46" w:before="0" w:line="254" w:lineRule="auto"/>
        <w:ind w:left="351" w:hanging="351"/>
      </w:pPr>
      <w:r>
        <w:rPr>
          <w:rFonts w:ascii="Arial" w:hAnsi="Arial" w:eastAsia="Arial" w:cs="Arial"/>
          <w:b/>
          <w:i w:val="0"/>
          <w:sz w:val="20"/>
        </w:rPr>
        <w:t xml:space="preserve">1.1. </w:t>
      </w:r>
      <w:r>
        <w:rPr>
          <w:rFonts w:ascii="Arial" w:hAnsi="Arial" w:eastAsia="Arial" w:cs="Arial"/>
          <w:b w:val="0"/>
          <w:i w:val="0"/>
          <w:sz w:val="20"/>
        </w:rPr>
        <w:t>Selecția se bazează pe merit, potențial, motivație și disponibilitatea reală de participare la program.</w:t>
      </w:r>
    </w:p>
    <w:p>
      <w:pPr>
        <w:keepNext w:val="0"/>
        <w:spacing w:after="46" w:before="0" w:line="254" w:lineRule="auto"/>
        <w:ind w:left="351" w:hanging="351"/>
      </w:pPr>
      <w:r>
        <w:rPr>
          <w:rFonts w:ascii="Arial" w:hAnsi="Arial" w:eastAsia="Arial" w:cs="Arial"/>
          <w:b/>
          <w:i w:val="0"/>
          <w:sz w:val="20"/>
        </w:rPr>
        <w:t xml:space="preserve">1.2. </w:t>
      </w:r>
      <w:r>
        <w:rPr>
          <w:rFonts w:ascii="Arial" w:hAnsi="Arial" w:eastAsia="Arial" w:cs="Arial"/>
          <w:b w:val="0"/>
          <w:i w:val="0"/>
          <w:sz w:val="20"/>
        </w:rPr>
        <w:t>Toți candidații parcurg același proces de selecție, indiferent dacă solicită bursă sau intenționează să achite taxa programului.</w:t>
      </w:r>
    </w:p>
    <w:p>
      <w:pPr>
        <w:keepNext w:val="0"/>
        <w:spacing w:after="46" w:before="0" w:line="254" w:lineRule="auto"/>
        <w:ind w:left="351" w:hanging="351"/>
      </w:pPr>
      <w:r>
        <w:rPr>
          <w:rFonts w:ascii="Arial" w:hAnsi="Arial" w:eastAsia="Arial" w:cs="Arial"/>
          <w:b/>
          <w:i w:val="0"/>
          <w:sz w:val="20"/>
        </w:rPr>
        <w:t xml:space="preserve">1.3. </w:t>
      </w:r>
      <w:r>
        <w:rPr>
          <w:rFonts w:ascii="Arial" w:hAnsi="Arial" w:eastAsia="Arial" w:cs="Arial"/>
          <w:b w:val="0"/>
          <w:i w:val="0"/>
          <w:sz w:val="20"/>
        </w:rPr>
        <w:t>Capacitatea familiei de a achita programul nu influențează punctajul de admitere.</w:t>
      </w:r>
    </w:p>
    <w:p>
      <w:pPr>
        <w:keepNext w:val="0"/>
        <w:spacing w:after="46" w:before="0" w:line="254" w:lineRule="auto"/>
        <w:ind w:left="351" w:hanging="351"/>
      </w:pPr>
      <w:r>
        <w:rPr>
          <w:rFonts w:ascii="Arial" w:hAnsi="Arial" w:eastAsia="Arial" w:cs="Arial"/>
          <w:b/>
          <w:i w:val="0"/>
          <w:sz w:val="20"/>
        </w:rPr>
        <w:t xml:space="preserve">1.4. </w:t>
      </w:r>
      <w:r>
        <w:rPr>
          <w:rFonts w:ascii="Arial" w:hAnsi="Arial" w:eastAsia="Arial" w:cs="Arial"/>
          <w:b w:val="0"/>
          <w:i w:val="0"/>
          <w:sz w:val="20"/>
        </w:rPr>
        <w:t>Nu este obligatorie deținerea unei medalii sau a unui premiu. Participarea la proiecte, cluburi, cursuri, concursuri ori activitatea autodidactă pot demonstra interesul și perseverența candidatului.</w:t>
      </w:r>
    </w:p>
    <w:p>
      <w:pPr>
        <w:keepNext w:val="0"/>
        <w:spacing w:after="46" w:before="0" w:line="254" w:lineRule="auto"/>
        <w:ind w:left="351" w:hanging="351"/>
      </w:pPr>
      <w:r>
        <w:rPr>
          <w:rFonts w:ascii="Arial" w:hAnsi="Arial" w:eastAsia="Arial" w:cs="Arial"/>
          <w:b/>
          <w:i w:val="0"/>
          <w:sz w:val="20"/>
        </w:rPr>
        <w:t xml:space="preserve">1.5. </w:t>
      </w:r>
      <w:r>
        <w:rPr>
          <w:rFonts w:ascii="Arial" w:hAnsi="Arial" w:eastAsia="Arial" w:cs="Arial"/>
          <w:b w:val="0"/>
          <w:i w:val="0"/>
          <w:sz w:val="20"/>
        </w:rPr>
        <w:t>Evaluarea se realizează pe baza unor grile comune, prin punctaje documentate. Identitatea candidatului este înlocuită, pe cât posibil, cu un cod în fișele de evaluare.</w:t>
      </w:r>
    </w:p>
    <w:p>
      <w:pPr>
        <w:keepNext w:val="0"/>
        <w:spacing w:after="46" w:before="0" w:line="254" w:lineRule="auto"/>
        <w:ind w:left="351" w:hanging="351"/>
      </w:pPr>
      <w:r>
        <w:rPr>
          <w:rFonts w:ascii="Arial" w:hAnsi="Arial" w:eastAsia="Arial" w:cs="Arial"/>
          <w:b/>
          <w:i w:val="0"/>
          <w:sz w:val="20"/>
        </w:rPr>
        <w:t xml:space="preserve">1.6. </w:t>
      </w:r>
      <w:r>
        <w:rPr>
          <w:rFonts w:ascii="Arial" w:hAnsi="Arial" w:eastAsia="Arial" w:cs="Arial"/>
          <w:b w:val="0"/>
          <w:i w:val="0"/>
          <w:sz w:val="20"/>
        </w:rPr>
        <w:t>Candidații pot solicita adaptări rezonabile ale condițiilor de testare sau interviu pentru nevoi educaționale ori medicale documentate, fără reducerea standardelor de evaluare.</w:t>
      </w:r>
    </w:p>
    <w:p>
      <w:pPr>
        <w:keepNext w:val="0"/>
        <w:spacing w:after="46" w:before="0" w:line="254" w:lineRule="auto"/>
        <w:ind w:left="351" w:hanging="351"/>
      </w:pPr>
      <w:r>
        <w:rPr>
          <w:rFonts w:ascii="Arial" w:hAnsi="Arial" w:eastAsia="Arial" w:cs="Arial"/>
          <w:b/>
          <w:i w:val="0"/>
          <w:sz w:val="20"/>
        </w:rPr>
        <w:t xml:space="preserve">1.7. </w:t>
      </w:r>
      <w:r>
        <w:rPr>
          <w:rFonts w:ascii="Arial" w:hAnsi="Arial" w:eastAsia="Arial" w:cs="Arial"/>
          <w:b w:val="0"/>
          <w:i w:val="0"/>
          <w:sz w:val="20"/>
        </w:rPr>
        <w:t>Înscrierea și admiterea se realizează pentru programul integrat Școala de Performanță și Excelență TAK, nu pentru o disciplină distinctă. Toți candidații aplică la același program.</w:t>
      </w:r>
    </w:p>
    <w:p>
      <w:pPr>
        <w:keepNext/>
        <w:spacing w:after="50" w:before="120" w:line="254" w:lineRule="auto"/>
      </w:pPr>
      <w:r>
        <w:rPr>
          <w:rFonts w:ascii="Arial" w:hAnsi="Arial" w:eastAsia="Arial" w:cs="Arial"/>
          <w:b/>
          <w:i w:val="0"/>
          <w:sz w:val="23"/>
        </w:rPr>
        <w:t>2. Informațiile publicate înainte de aplicare</w:t>
      </w:r>
    </w:p>
    <w:p>
      <w:pPr>
        <w:keepNext w:val="0"/>
        <w:spacing w:after="46" w:before="0" w:line="254" w:lineRule="auto"/>
        <w:ind w:left="351" w:hanging="351"/>
      </w:pPr>
      <w:r>
        <w:rPr>
          <w:rFonts w:ascii="Arial" w:hAnsi="Arial" w:eastAsia="Arial" w:cs="Arial"/>
          <w:b/>
          <w:i w:val="0"/>
          <w:sz w:val="20"/>
        </w:rPr>
        <w:t xml:space="preserve">2.1. </w:t>
      </w:r>
      <w:r>
        <w:rPr>
          <w:rFonts w:ascii="Arial" w:hAnsi="Arial" w:eastAsia="Arial" w:cs="Arial"/>
          <w:b w:val="0"/>
          <w:i w:val="0"/>
          <w:sz w:val="20"/>
        </w:rPr>
        <w:t>Apelul anual de aplicare va indica în mod obligatoriu:</w:t>
      </w:r>
    </w:p>
    <w:p>
      <w:pPr>
        <w:keepNext w:val="0"/>
        <w:spacing w:after="30" w:before="0" w:line="254" w:lineRule="auto"/>
        <w:ind w:left="386" w:hanging="181"/>
      </w:pPr>
      <w:r>
        <w:rPr>
          <w:rFonts w:ascii="Arial" w:hAnsi="Arial" w:eastAsia="Arial" w:cs="Arial"/>
          <w:b/>
          <w:i w:val="0"/>
          <w:sz w:val="20"/>
        </w:rPr>
        <w:t xml:space="preserve">• </w:t>
      </w:r>
      <w:r>
        <w:rPr>
          <w:rFonts w:ascii="Arial" w:hAnsi="Arial" w:eastAsia="Arial" w:cs="Arial"/>
          <w:b w:val="0"/>
          <w:i w:val="0"/>
          <w:sz w:val="20"/>
        </w:rPr>
        <w:t>numărul total de locuri, grupele de vârstă, dacă este cazul, și capacitatea estimată a programului;</w:t>
      </w:r>
    </w:p>
    <w:p>
      <w:pPr>
        <w:keepNext w:val="0"/>
        <w:spacing w:after="30" w:before="0" w:line="254" w:lineRule="auto"/>
        <w:ind w:left="386" w:hanging="181"/>
      </w:pPr>
      <w:r>
        <w:rPr>
          <w:rFonts w:ascii="Arial" w:hAnsi="Arial" w:eastAsia="Arial" w:cs="Arial"/>
          <w:b/>
          <w:i w:val="0"/>
          <w:sz w:val="20"/>
        </w:rPr>
        <w:t xml:space="preserve">• </w:t>
      </w:r>
      <w:r>
        <w:rPr>
          <w:rFonts w:ascii="Arial" w:hAnsi="Arial" w:eastAsia="Arial" w:cs="Arial"/>
          <w:b w:val="0"/>
          <w:i w:val="0"/>
          <w:sz w:val="20"/>
        </w:rPr>
        <w:t>calendarul complet al aplicării, testelor, interviurilor, rezultatelor și contestațiilor;</w:t>
      </w:r>
    </w:p>
    <w:p>
      <w:pPr>
        <w:keepNext w:val="0"/>
        <w:spacing w:after="30" w:before="0" w:line="254" w:lineRule="auto"/>
        <w:ind w:left="386" w:hanging="181"/>
      </w:pPr>
      <w:r>
        <w:rPr>
          <w:rFonts w:ascii="Arial" w:hAnsi="Arial" w:eastAsia="Arial" w:cs="Arial"/>
          <w:b/>
          <w:i w:val="0"/>
          <w:sz w:val="20"/>
        </w:rPr>
        <w:t xml:space="preserve">• </w:t>
      </w:r>
      <w:r>
        <w:rPr>
          <w:rFonts w:ascii="Arial" w:hAnsi="Arial" w:eastAsia="Arial" w:cs="Arial"/>
          <w:b w:val="0"/>
          <w:i w:val="0"/>
          <w:sz w:val="20"/>
        </w:rPr>
        <w:t>tematica orientativă, formatul și durata probelor;</w:t>
      </w:r>
    </w:p>
    <w:p>
      <w:pPr>
        <w:keepNext w:val="0"/>
        <w:spacing w:after="30" w:before="0" w:line="254" w:lineRule="auto"/>
        <w:ind w:left="386" w:hanging="181"/>
      </w:pPr>
      <w:r>
        <w:rPr>
          <w:rFonts w:ascii="Arial" w:hAnsi="Arial" w:eastAsia="Arial" w:cs="Arial"/>
          <w:b/>
          <w:i w:val="0"/>
          <w:sz w:val="20"/>
        </w:rPr>
        <w:t xml:space="preserve">• </w:t>
      </w:r>
      <w:r>
        <w:rPr>
          <w:rFonts w:ascii="Arial" w:hAnsi="Arial" w:eastAsia="Arial" w:cs="Arial"/>
          <w:b w:val="0"/>
          <w:i w:val="0"/>
          <w:sz w:val="20"/>
        </w:rPr>
        <w:t>pragurile minime și formula de calcul a punctajului final;</w:t>
      </w:r>
    </w:p>
    <w:p>
      <w:pPr>
        <w:keepNext w:val="0"/>
        <w:spacing w:after="30" w:before="0" w:line="254" w:lineRule="auto"/>
        <w:ind w:left="386" w:hanging="181"/>
      </w:pPr>
      <w:r>
        <w:rPr>
          <w:rFonts w:ascii="Arial" w:hAnsi="Arial" w:eastAsia="Arial" w:cs="Arial"/>
          <w:b/>
          <w:i w:val="0"/>
          <w:sz w:val="20"/>
        </w:rPr>
        <w:t xml:space="preserve">• </w:t>
      </w:r>
      <w:r>
        <w:rPr>
          <w:rFonts w:ascii="Arial" w:hAnsi="Arial" w:eastAsia="Arial" w:cs="Arial"/>
          <w:b w:val="0"/>
          <w:i w:val="0"/>
          <w:sz w:val="20"/>
        </w:rPr>
        <w:t>numărul burselor integrale și parțiale, valoarea sau procentul acestora și bugetul disponibil;</w:t>
      </w:r>
    </w:p>
    <w:p>
      <w:pPr>
        <w:keepNext w:val="0"/>
        <w:spacing w:after="30" w:before="0" w:line="254" w:lineRule="auto"/>
        <w:ind w:left="386" w:hanging="181"/>
      </w:pPr>
      <w:r>
        <w:rPr>
          <w:rFonts w:ascii="Arial" w:hAnsi="Arial" w:eastAsia="Arial" w:cs="Arial"/>
          <w:b/>
          <w:i w:val="0"/>
          <w:sz w:val="20"/>
        </w:rPr>
        <w:t xml:space="preserve">• </w:t>
      </w:r>
      <w:r>
        <w:rPr>
          <w:rFonts w:ascii="Arial" w:hAnsi="Arial" w:eastAsia="Arial" w:cs="Arial"/>
          <w:b w:val="0"/>
          <w:i w:val="0"/>
          <w:sz w:val="20"/>
        </w:rPr>
        <w:t>lista documentelor justificative pentru bursa de merit și bursa de necesitate;</w:t>
      </w:r>
    </w:p>
    <w:p>
      <w:pPr>
        <w:keepNext w:val="0"/>
        <w:spacing w:after="30" w:before="0" w:line="254" w:lineRule="auto"/>
        <w:ind w:left="386" w:hanging="181"/>
      </w:pPr>
      <w:r>
        <w:rPr>
          <w:rFonts w:ascii="Arial" w:hAnsi="Arial" w:eastAsia="Arial" w:cs="Arial"/>
          <w:b/>
          <w:i w:val="0"/>
          <w:sz w:val="20"/>
        </w:rPr>
        <w:t xml:space="preserve">• </w:t>
      </w:r>
      <w:r>
        <w:rPr>
          <w:rFonts w:ascii="Arial" w:hAnsi="Arial" w:eastAsia="Arial" w:cs="Arial"/>
          <w:b w:val="0"/>
          <w:i w:val="0"/>
          <w:sz w:val="20"/>
        </w:rPr>
        <w:t>canalul oficial de comunicare și adresa pentru depunerea contestațiilor.</w:t>
      </w:r>
    </w:p>
    <w:p>
      <w:pPr>
        <w:keepNext w:val="0"/>
        <w:spacing w:after="46" w:before="0" w:line="254" w:lineRule="auto"/>
        <w:ind w:left="351" w:hanging="351"/>
      </w:pPr>
      <w:r>
        <w:rPr>
          <w:rFonts w:ascii="Arial" w:hAnsi="Arial" w:eastAsia="Arial" w:cs="Arial"/>
          <w:b/>
          <w:i w:val="0"/>
          <w:sz w:val="20"/>
        </w:rPr>
        <w:t xml:space="preserve">2.2. </w:t>
      </w:r>
      <w:r>
        <w:rPr>
          <w:rFonts w:ascii="Arial" w:hAnsi="Arial" w:eastAsia="Arial" w:cs="Arial"/>
          <w:b w:val="0"/>
          <w:i w:val="0"/>
          <w:sz w:val="20"/>
        </w:rPr>
        <w:t>După deschiderea aplicărilor, criteriile și ponderile nu pot fi modificate în defavoarea candidaților. Orice schimbare obiectiv necesară se publică imediat, împreună cu motivarea și măsurile de protejare a candidaților.</w:t>
      </w:r>
    </w:p>
    <w:p>
      <w:pPr>
        <w:keepNext/>
        <w:spacing w:after="50" w:before="120" w:line="254" w:lineRule="auto"/>
      </w:pPr>
      <w:r>
        <w:rPr>
          <w:rFonts w:ascii="Arial" w:hAnsi="Arial" w:eastAsia="Arial" w:cs="Arial"/>
          <w:b/>
          <w:i w:val="0"/>
          <w:sz w:val="23"/>
        </w:rPr>
        <w:t>3. Condiții minime de eligibilitate</w:t>
      </w:r>
    </w:p>
    <w:p>
      <w:pPr>
        <w:keepNext w:val="0"/>
        <w:spacing w:after="46" w:before="0" w:line="254" w:lineRule="auto"/>
        <w:ind w:left="351" w:hanging="351"/>
      </w:pPr>
      <w:r>
        <w:rPr>
          <w:rFonts w:ascii="Arial" w:hAnsi="Arial" w:eastAsia="Arial" w:cs="Arial"/>
          <w:b/>
          <w:i w:val="0"/>
          <w:sz w:val="20"/>
        </w:rPr>
        <w:t xml:space="preserve">3.1. </w:t>
      </w:r>
      <w:r>
        <w:rPr>
          <w:rFonts w:ascii="Arial" w:hAnsi="Arial" w:eastAsia="Arial" w:cs="Arial"/>
          <w:b w:val="0"/>
          <w:i w:val="0"/>
          <w:sz w:val="20"/>
        </w:rPr>
        <w:t>Poate participa la selecție elevul care îndeplinește cumulativ următoarele condiții:</w:t>
      </w:r>
    </w:p>
    <w:p>
      <w:pPr>
        <w:keepNext w:val="0"/>
        <w:spacing w:after="30" w:before="0" w:line="254" w:lineRule="auto"/>
        <w:ind w:left="386" w:hanging="181"/>
      </w:pPr>
      <w:r>
        <w:rPr>
          <w:rFonts w:ascii="Arial" w:hAnsi="Arial" w:eastAsia="Arial" w:cs="Arial"/>
          <w:b/>
          <w:i w:val="0"/>
          <w:sz w:val="20"/>
        </w:rPr>
        <w:t xml:space="preserve">• </w:t>
      </w:r>
      <w:r>
        <w:rPr>
          <w:rFonts w:ascii="Arial" w:hAnsi="Arial" w:eastAsia="Arial" w:cs="Arial"/>
          <w:b w:val="0"/>
          <w:i w:val="0"/>
          <w:sz w:val="20"/>
        </w:rPr>
        <w:t>are, la momentul aplicării, vârsta și clasa indicate în apelul programului; pentru structura actuală: 11–16 ani, clasele V–X;</w:t>
      </w:r>
    </w:p>
    <w:p>
      <w:pPr>
        <w:keepNext w:val="0"/>
        <w:spacing w:after="30" w:before="0" w:line="254" w:lineRule="auto"/>
        <w:ind w:left="386" w:hanging="181"/>
      </w:pPr>
      <w:r>
        <w:rPr>
          <w:rFonts w:ascii="Arial" w:hAnsi="Arial" w:eastAsia="Arial" w:cs="Arial"/>
          <w:b/>
          <w:i w:val="0"/>
          <w:sz w:val="20"/>
        </w:rPr>
        <w:t xml:space="preserve">• </w:t>
      </w:r>
      <w:r>
        <w:rPr>
          <w:rFonts w:ascii="Arial" w:hAnsi="Arial" w:eastAsia="Arial" w:cs="Arial"/>
          <w:b w:val="0"/>
          <w:i w:val="0"/>
          <w:sz w:val="20"/>
        </w:rPr>
        <w:t>transmite formularul complet în termenul anunțat, validat de părinte/tutorele legal;</w:t>
      </w:r>
    </w:p>
    <w:p>
      <w:pPr>
        <w:keepNext w:val="0"/>
        <w:spacing w:after="30" w:before="0" w:line="254" w:lineRule="auto"/>
        <w:ind w:left="386" w:hanging="181"/>
      </w:pPr>
      <w:r>
        <w:rPr>
          <w:rFonts w:ascii="Arial" w:hAnsi="Arial" w:eastAsia="Arial" w:cs="Arial"/>
          <w:b/>
          <w:i w:val="0"/>
          <w:sz w:val="20"/>
        </w:rPr>
        <w:t xml:space="preserve">• </w:t>
      </w:r>
      <w:r>
        <w:rPr>
          <w:rFonts w:ascii="Arial" w:hAnsi="Arial" w:eastAsia="Arial" w:cs="Arial"/>
          <w:b w:val="0"/>
          <w:i w:val="0"/>
          <w:sz w:val="20"/>
        </w:rPr>
        <w:t>declară mediile școlare solicitate și prezintă documente de confirmare atunci când acestea sunt cerute;</w:t>
      </w:r>
    </w:p>
    <w:p>
      <w:pPr>
        <w:keepNext w:val="0"/>
        <w:spacing w:after="30" w:before="0" w:line="254" w:lineRule="auto"/>
        <w:ind w:left="386" w:hanging="181"/>
      </w:pPr>
      <w:r>
        <w:rPr>
          <w:rFonts w:ascii="Arial" w:hAnsi="Arial" w:eastAsia="Arial" w:cs="Arial"/>
          <w:b/>
          <w:i w:val="0"/>
          <w:sz w:val="20"/>
        </w:rPr>
        <w:t xml:space="preserve">• </w:t>
      </w:r>
      <w:r>
        <w:rPr>
          <w:rFonts w:ascii="Arial" w:hAnsi="Arial" w:eastAsia="Arial" w:cs="Arial"/>
          <w:b w:val="0"/>
          <w:i w:val="0"/>
          <w:sz w:val="20"/>
        </w:rPr>
        <w:t>are media de minimum 8,50 calculată din disciplinele STEM declarate în formular — Matematică, Informatică, Fizică, Chimie și Științe — cu excluderea disciplinelor marcate „Nu se aplică”;</w:t>
      </w:r>
    </w:p>
    <w:p>
      <w:pPr>
        <w:keepNext w:val="0"/>
        <w:spacing w:after="30" w:before="0" w:line="254" w:lineRule="auto"/>
        <w:ind w:left="386" w:hanging="181"/>
      </w:pPr>
      <w:r>
        <w:rPr>
          <w:rFonts w:ascii="Arial" w:hAnsi="Arial" w:eastAsia="Arial" w:cs="Arial"/>
          <w:b/>
          <w:i w:val="0"/>
          <w:sz w:val="20"/>
        </w:rPr>
        <w:t xml:space="preserve">• </w:t>
      </w:r>
      <w:r>
        <w:rPr>
          <w:rFonts w:ascii="Arial" w:hAnsi="Arial" w:eastAsia="Arial" w:cs="Arial"/>
          <w:b w:val="0"/>
          <w:i w:val="0"/>
          <w:sz w:val="20"/>
        </w:rPr>
        <w:t>confirmă participarea la testul scris și la interviu;</w:t>
      </w:r>
    </w:p>
    <w:p>
      <w:pPr>
        <w:keepNext w:val="0"/>
        <w:spacing w:after="30" w:before="0" w:line="254" w:lineRule="auto"/>
        <w:ind w:left="386" w:hanging="181"/>
      </w:pPr>
      <w:r>
        <w:rPr>
          <w:rFonts w:ascii="Arial" w:hAnsi="Arial" w:eastAsia="Arial" w:cs="Arial"/>
          <w:b/>
          <w:i w:val="0"/>
          <w:sz w:val="20"/>
        </w:rPr>
        <w:t xml:space="preserve">• </w:t>
      </w:r>
      <w:r>
        <w:rPr>
          <w:rFonts w:ascii="Arial" w:hAnsi="Arial" w:eastAsia="Arial" w:cs="Arial"/>
          <w:b w:val="0"/>
          <w:i w:val="0"/>
          <w:sz w:val="20"/>
        </w:rPr>
        <w:t>părintele/tutorele acceptă cerința de participare la minimum 80% din program și condițiile financiare comunicate.</w:t>
      </w:r>
    </w:p>
    <w:p>
      <w:pPr>
        <w:keepNext w:val="0"/>
        <w:spacing w:after="46" w:before="0" w:line="254" w:lineRule="auto"/>
        <w:ind w:left="351" w:hanging="351"/>
      </w:pPr>
      <w:r>
        <w:rPr>
          <w:rFonts w:ascii="Arial" w:hAnsi="Arial" w:eastAsia="Arial" w:cs="Arial"/>
          <w:b/>
          <w:i w:val="0"/>
          <w:sz w:val="20"/>
        </w:rPr>
        <w:t xml:space="preserve">3.2. </w:t>
      </w:r>
      <w:r>
        <w:rPr>
          <w:rFonts w:ascii="Arial" w:hAnsi="Arial" w:eastAsia="Arial" w:cs="Arial"/>
          <w:b w:val="0"/>
          <w:i w:val="0"/>
          <w:sz w:val="20"/>
        </w:rPr>
        <w:t>Un dosar incomplet poate fi completat în maximum 48 de ore de la notificarea transmisă de organizator, dacă notificarea este făcută înainte de începerea probelor.</w:t>
      </w:r>
    </w:p>
    <w:p>
      <w:pPr>
        <w:keepNext w:val="0"/>
        <w:spacing w:after="46" w:before="0" w:line="254" w:lineRule="auto"/>
        <w:ind w:left="351" w:hanging="351"/>
      </w:pPr>
      <w:r>
        <w:rPr>
          <w:rFonts w:ascii="Arial" w:hAnsi="Arial" w:eastAsia="Arial" w:cs="Arial"/>
          <w:b/>
          <w:i w:val="0"/>
          <w:sz w:val="20"/>
        </w:rPr>
        <w:t xml:space="preserve">3.3. </w:t>
      </w:r>
      <w:r>
        <w:rPr>
          <w:rFonts w:ascii="Arial" w:hAnsi="Arial" w:eastAsia="Arial" w:cs="Arial"/>
          <w:b w:val="0"/>
          <w:i w:val="0"/>
          <w:sz w:val="20"/>
        </w:rPr>
        <w:t>Neîndeplinirea condițiilor administrative este motivată în scris și poate fi contestată conform secțiunii 11.</w:t>
      </w:r>
    </w:p>
    <w:p>
      <w:pPr>
        <w:keepNext/>
        <w:spacing w:after="50" w:before="120" w:line="254" w:lineRule="auto"/>
      </w:pPr>
      <w:r>
        <w:rPr>
          <w:rFonts w:ascii="Arial" w:hAnsi="Arial" w:eastAsia="Arial" w:cs="Arial"/>
          <w:b/>
          <w:i w:val="0"/>
          <w:sz w:val="23"/>
        </w:rPr>
        <w:t>4. Comisia de selecție și imparțialitatea</w:t>
      </w:r>
    </w:p>
    <w:p>
      <w:pPr>
        <w:keepNext w:val="0"/>
        <w:spacing w:after="46" w:before="0" w:line="254" w:lineRule="auto"/>
        <w:ind w:left="351" w:hanging="351"/>
      </w:pPr>
      <w:r>
        <w:rPr>
          <w:rFonts w:ascii="Arial" w:hAnsi="Arial" w:eastAsia="Arial" w:cs="Arial"/>
          <w:b/>
          <w:i w:val="0"/>
          <w:sz w:val="20"/>
        </w:rPr>
        <w:t xml:space="preserve">4.1. </w:t>
      </w:r>
      <w:r>
        <w:rPr>
          <w:rFonts w:ascii="Arial" w:hAnsi="Arial" w:eastAsia="Arial" w:cs="Arial"/>
          <w:b w:val="0"/>
          <w:i w:val="0"/>
          <w:sz w:val="20"/>
        </w:rPr>
        <w:t>Comisia este formată din 3–5 membri și include cel puțin un specialist în disciplina evaluată și un reprezentant al programului. Fiecare probă este evaluată de minimum doi evaluatori.</w:t>
      </w:r>
    </w:p>
    <w:p>
      <w:pPr>
        <w:keepNext w:val="0"/>
        <w:spacing w:after="46" w:before="0" w:line="254" w:lineRule="auto"/>
        <w:ind w:left="351" w:hanging="351"/>
      </w:pPr>
      <w:r>
        <w:rPr>
          <w:rFonts w:ascii="Arial" w:hAnsi="Arial" w:eastAsia="Arial" w:cs="Arial"/>
          <w:b/>
          <w:i w:val="0"/>
          <w:sz w:val="20"/>
        </w:rPr>
        <w:t xml:space="preserve">4.2. </w:t>
      </w:r>
      <w:r>
        <w:rPr>
          <w:rFonts w:ascii="Arial" w:hAnsi="Arial" w:eastAsia="Arial" w:cs="Arial"/>
          <w:b w:val="0"/>
          <w:i w:val="0"/>
          <w:sz w:val="20"/>
        </w:rPr>
        <w:t>Membrii comisiei semnează declarații de confidențialitate, imparțialitate și absență a conflictelor de interese.</w:t>
      </w:r>
    </w:p>
    <w:p>
      <w:pPr>
        <w:keepNext w:val="0"/>
        <w:spacing w:after="46" w:before="0" w:line="254" w:lineRule="auto"/>
        <w:ind w:left="351" w:hanging="351"/>
      </w:pPr>
      <w:r>
        <w:rPr>
          <w:rFonts w:ascii="Arial" w:hAnsi="Arial" w:eastAsia="Arial" w:cs="Arial"/>
          <w:b/>
          <w:i w:val="0"/>
          <w:sz w:val="20"/>
        </w:rPr>
        <w:t xml:space="preserve">4.3. </w:t>
      </w:r>
      <w:r>
        <w:rPr>
          <w:rFonts w:ascii="Arial" w:hAnsi="Arial" w:eastAsia="Arial" w:cs="Arial"/>
          <w:b w:val="0"/>
          <w:i w:val="0"/>
          <w:sz w:val="20"/>
        </w:rPr>
        <w:t>Un membru nu poate evalua un candidat dacă este rudă, profesor/mentor direct al acestuia sau are o relație care poate afecta imparțialitatea. Membrul se recuză, iar evaluarea este preluată de un înlocuitor.</w:t>
      </w:r>
    </w:p>
    <w:p>
      <w:pPr>
        <w:keepNext w:val="0"/>
        <w:spacing w:after="46" w:before="0" w:line="254" w:lineRule="auto"/>
        <w:ind w:left="351" w:hanging="351"/>
      </w:pPr>
      <w:r>
        <w:rPr>
          <w:rFonts w:ascii="Arial" w:hAnsi="Arial" w:eastAsia="Arial" w:cs="Arial"/>
          <w:b/>
          <w:i w:val="0"/>
          <w:sz w:val="20"/>
        </w:rPr>
        <w:t xml:space="preserve">4.4. </w:t>
      </w:r>
      <w:r>
        <w:rPr>
          <w:rFonts w:ascii="Arial" w:hAnsi="Arial" w:eastAsia="Arial" w:cs="Arial"/>
          <w:b w:val="0"/>
          <w:i w:val="0"/>
          <w:sz w:val="20"/>
        </w:rPr>
        <w:t>Punctajul unei probe este media aritmetică a punctajelor acordate de evaluatori. Dacă diferența dintre evaluatori depășește 20 de puncte din 100, proba este evaluată și de un al treilea evaluator.</w:t>
      </w:r>
    </w:p>
    <w:p>
      <w:pPr>
        <w:keepNext w:val="0"/>
        <w:spacing w:after="46" w:before="0" w:line="254" w:lineRule="auto"/>
        <w:ind w:left="351" w:hanging="351"/>
      </w:pPr>
      <w:r>
        <w:rPr>
          <w:rFonts w:ascii="Arial" w:hAnsi="Arial" w:eastAsia="Arial" w:cs="Arial"/>
          <w:b/>
          <w:i w:val="0"/>
          <w:sz w:val="20"/>
        </w:rPr>
        <w:t xml:space="preserve">4.5. </w:t>
      </w:r>
      <w:r>
        <w:rPr>
          <w:rFonts w:ascii="Arial" w:hAnsi="Arial" w:eastAsia="Arial" w:cs="Arial"/>
          <w:b w:val="0"/>
          <w:i w:val="0"/>
          <w:sz w:val="20"/>
        </w:rPr>
        <w:t>Deciziile, punctajele și eventualele incidente sunt consemnate într-un proces-verbal.</w:t>
      </w:r>
    </w:p>
    <w:p>
      <w:r>
        <w:br w:type="page"/>
      </w:r>
    </w:p>
    <w:p>
      <w:pPr>
        <w:keepNext/>
        <w:spacing w:after="50" w:before="120" w:line="254" w:lineRule="auto"/>
      </w:pPr>
      <w:r>
        <w:rPr>
          <w:rFonts w:ascii="Arial" w:hAnsi="Arial" w:eastAsia="Arial" w:cs="Arial"/>
          <w:b/>
          <w:i w:val="0"/>
          <w:sz w:val="23"/>
        </w:rPr>
        <w:t>5. Etapele procesului de selecție</w:t>
      </w:r>
    </w:p>
    <w:tbl>
      <w:tblPr>
        <w:tblStyle w:val="TableGrid"/>
        <w:tblW w:type="auto" w:w="0"/>
        <w:jc w:val="center"/>
        <w:tblLayout w:type="fixed"/>
        <w:tblLook w:firstColumn="1" w:firstRow="1" w:lastColumn="0" w:lastRow="0" w:noHBand="0" w:noVBand="1" w:val="04A0"/>
      </w:tblPr>
      <w:tblGrid>
        <w:gridCol w:w="3345"/>
        <w:gridCol w:w="3345"/>
        <w:gridCol w:w="3345"/>
      </w:tblGrid>
      <w:tr>
        <w:trPr>
          <w:tblHeader w:val="true"/>
        </w:trPr>
        <w:tc>
          <w:tcPr>
            <w:tcW w:type="dxa" w:w="1984"/>
            <w:tcMar>
              <w:top w:w="75" w:type="dxa"/>
              <w:start w:w="85" w:type="dxa"/>
              <w:bottom w:w="75" w:type="dxa"/>
              <w:end w:w="85" w:type="dxa"/>
            </w:tcMar>
            <w:shd w:fill="E7E7E7"/>
            <w:vAlign w:val="center"/>
          </w:tcPr>
          <w:p>
            <w:pPr>
              <w:keepNext w:val="0"/>
              <w:spacing w:after="0" w:before="0" w:line="240" w:lineRule="auto"/>
              <w:jc w:val="center"/>
            </w:pPr>
            <w:r>
              <w:rPr>
                <w:rFonts w:ascii="Arial" w:hAnsi="Arial" w:eastAsia="Arial" w:cs="Arial"/>
                <w:b/>
                <w:i w:val="0"/>
                <w:sz w:val="17"/>
              </w:rPr>
              <w:t>Etapa</w:t>
            </w:r>
          </w:p>
        </w:tc>
        <w:tc>
          <w:tcPr>
            <w:tcW w:type="dxa" w:w="5386"/>
            <w:tcMar>
              <w:top w:w="75" w:type="dxa"/>
              <w:start w:w="85" w:type="dxa"/>
              <w:bottom w:w="75" w:type="dxa"/>
              <w:end w:w="85" w:type="dxa"/>
            </w:tcMar>
            <w:shd w:fill="E7E7E7"/>
            <w:vAlign w:val="center"/>
          </w:tcPr>
          <w:p>
            <w:pPr>
              <w:keepNext w:val="0"/>
              <w:spacing w:after="0" w:before="0" w:line="240" w:lineRule="auto"/>
              <w:jc w:val="center"/>
            </w:pPr>
            <w:r>
              <w:rPr>
                <w:rFonts w:ascii="Arial" w:hAnsi="Arial" w:eastAsia="Arial" w:cs="Arial"/>
                <w:b/>
                <w:i w:val="0"/>
                <w:sz w:val="17"/>
              </w:rPr>
              <w:t>Conținut</w:t>
            </w:r>
          </w:p>
        </w:tc>
        <w:tc>
          <w:tcPr>
            <w:tcW w:type="dxa" w:w="2551"/>
            <w:tcMar>
              <w:top w:w="75" w:type="dxa"/>
              <w:start w:w="85" w:type="dxa"/>
              <w:bottom w:w="75" w:type="dxa"/>
              <w:end w:w="85" w:type="dxa"/>
            </w:tcMar>
            <w:shd w:fill="E7E7E7"/>
            <w:vAlign w:val="center"/>
          </w:tcPr>
          <w:p>
            <w:pPr>
              <w:keepNext w:val="0"/>
              <w:spacing w:after="0" w:before="0" w:line="240" w:lineRule="auto"/>
              <w:jc w:val="center"/>
            </w:pPr>
            <w:r>
              <w:rPr>
                <w:rFonts w:ascii="Arial" w:hAnsi="Arial" w:eastAsia="Arial" w:cs="Arial"/>
                <w:b/>
                <w:i w:val="0"/>
                <w:sz w:val="17"/>
              </w:rPr>
              <w:t>Rezultat</w:t>
            </w:r>
          </w:p>
        </w:tc>
      </w:tr>
      <w:tr>
        <w:trPr>
          <w:cantSplit/>
        </w:trPr>
        <w:tc>
          <w:tcPr>
            <w:tcW w:type="dxa" w:w="1984"/>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0. Verificarea eligibilității</w:t>
            </w:r>
          </w:p>
        </w:tc>
        <w:tc>
          <w:tcPr>
            <w:tcW w:type="dxa" w:w="5386"/>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Controlul formularului, mediilor, acordurilor și documentelor obligatorii.</w:t>
            </w:r>
          </w:p>
        </w:tc>
        <w:tc>
          <w:tcPr>
            <w:tcW w:type="dxa" w:w="2551"/>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Eligibil / Neeligibil</w:t>
            </w:r>
          </w:p>
        </w:tc>
      </w:tr>
      <w:tr>
        <w:trPr>
          <w:cantSplit/>
        </w:trPr>
        <w:tc>
          <w:tcPr>
            <w:tcW w:type="dxa" w:w="1984"/>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1. Test scris</w:t>
            </w:r>
          </w:p>
        </w:tc>
        <w:tc>
          <w:tcPr>
            <w:tcW w:type="dxa" w:w="5386"/>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Raționament logic, competențe de bază și problemă deschisă. Durată orientativă: 75 de minute.</w:t>
            </w:r>
          </w:p>
        </w:tc>
        <w:tc>
          <w:tcPr>
            <w:tcW w:type="dxa" w:w="2551"/>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Scor 0–100; prag minim 60</w:t>
            </w:r>
          </w:p>
        </w:tc>
      </w:tr>
      <w:tr>
        <w:trPr>
          <w:cantSplit/>
        </w:trPr>
        <w:tc>
          <w:tcPr>
            <w:tcW w:type="dxa" w:w="1984"/>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2. Probă practică integrată</w:t>
            </w:r>
          </w:p>
        </w:tc>
        <w:tc>
          <w:tcPr>
            <w:tcW w:type="dxa" w:w="5386"/>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Sarcină aplicată care poate include probleme, cod/pseudocod, experiment, circuit, proiectare sau mini-task creativ, adaptată vârstei candidatului.</w:t>
            </w:r>
          </w:p>
        </w:tc>
        <w:tc>
          <w:tcPr>
            <w:tcW w:type="dxa" w:w="2551"/>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Scor 0–100; prag minim 60</w:t>
            </w:r>
          </w:p>
        </w:tc>
      </w:tr>
      <w:tr>
        <w:trPr>
          <w:cantSplit/>
        </w:trPr>
        <w:tc>
          <w:tcPr>
            <w:tcW w:type="dxa" w:w="1984"/>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3. Interviu elev + părinte</w:t>
            </w:r>
          </w:p>
        </w:tc>
        <w:tc>
          <w:tcPr>
            <w:tcW w:type="dxa" w:w="5386"/>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Motivație, perseverență, obiective, disponibilitate și înțelegerea cerințelor programului.</w:t>
            </w:r>
          </w:p>
        </w:tc>
        <w:tc>
          <w:tcPr>
            <w:tcW w:type="dxa" w:w="2551"/>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Scor 0–100</w:t>
            </w:r>
          </w:p>
        </w:tc>
      </w:tr>
      <w:tr>
        <w:trPr>
          <w:cantSplit/>
        </w:trPr>
        <w:tc>
          <w:tcPr>
            <w:tcW w:type="dxa" w:w="1984"/>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4. Evaluarea dosarului școlar</w:t>
            </w:r>
          </w:p>
        </w:tc>
        <w:tc>
          <w:tcPr>
            <w:tcW w:type="dxa" w:w="5386"/>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Mediile relevante și implicarea documentată în activități/proiecte.</w:t>
            </w:r>
          </w:p>
        </w:tc>
        <w:tc>
          <w:tcPr>
            <w:tcW w:type="dxa" w:w="2551"/>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Scor 0–100</w:t>
            </w:r>
          </w:p>
        </w:tc>
      </w:tr>
      <w:tr>
        <w:trPr>
          <w:cantSplit/>
        </w:trPr>
        <w:tc>
          <w:tcPr>
            <w:tcW w:type="dxa" w:w="1984"/>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5. Clasamentul final</w:t>
            </w:r>
          </w:p>
        </w:tc>
        <w:tc>
          <w:tcPr>
            <w:tcW w:type="dxa" w:w="5386"/>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Calculul scorului ponderat, departajarea și alocarea locurilor.</w:t>
            </w:r>
          </w:p>
        </w:tc>
        <w:tc>
          <w:tcPr>
            <w:tcW w:type="dxa" w:w="2551"/>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Admis / Listă de așteptare / Neadmis</w:t>
            </w:r>
          </w:p>
        </w:tc>
      </w:tr>
      <w:tr>
        <w:trPr>
          <w:cantSplit/>
        </w:trPr>
        <w:tc>
          <w:tcPr>
            <w:tcW w:type="dxa" w:w="1984"/>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6. Evaluarea pentru bursă</w:t>
            </w:r>
          </w:p>
        </w:tc>
        <w:tc>
          <w:tcPr>
            <w:tcW w:type="dxa" w:w="5386"/>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Se realizează numai pentru candidații admiși sau eligibili pentru un loc.</w:t>
            </w:r>
          </w:p>
        </w:tc>
        <w:tc>
          <w:tcPr>
            <w:tcW w:type="dxa" w:w="2551"/>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Bursă integrală / parțială / fără bursă</w:t>
            </w:r>
          </w:p>
        </w:tc>
      </w:tr>
    </w:tbl>
    <w:p>
      <w:pPr>
        <w:keepNext/>
        <w:spacing w:after="50" w:before="120" w:line="254" w:lineRule="auto"/>
      </w:pPr>
      <w:r>
        <w:rPr>
          <w:rFonts w:ascii="Arial" w:hAnsi="Arial" w:eastAsia="Arial" w:cs="Arial"/>
          <w:b/>
          <w:i w:val="0"/>
          <w:sz w:val="23"/>
        </w:rPr>
        <w:t>6. Formula punctajului final</w:t>
      </w:r>
    </w:p>
    <w:p>
      <w:pPr>
        <w:keepNext w:val="0"/>
        <w:spacing w:after="46" w:before="0" w:line="254" w:lineRule="auto"/>
        <w:ind w:left="351" w:hanging="351"/>
      </w:pPr>
      <w:r>
        <w:rPr>
          <w:rFonts w:ascii="Arial" w:hAnsi="Arial" w:eastAsia="Arial" w:cs="Arial"/>
          <w:b/>
          <w:i w:val="0"/>
          <w:sz w:val="20"/>
        </w:rPr>
        <w:t xml:space="preserve">6.1. </w:t>
      </w:r>
      <w:r>
        <w:rPr>
          <w:rFonts w:ascii="Arial" w:hAnsi="Arial" w:eastAsia="Arial" w:cs="Arial"/>
          <w:b w:val="0"/>
          <w:i w:val="0"/>
          <w:sz w:val="20"/>
        </w:rPr>
        <w:t>Punctajul final se calculează din maximum 100 de puncte, cu două zecimale:</w:t>
      </w:r>
    </w:p>
    <w:p>
      <w:pPr>
        <w:keepNext w:val="0"/>
        <w:spacing w:after="80" w:before="60" w:line="254" w:lineRule="auto"/>
        <w:jc w:val="center"/>
      </w:pPr>
      <w:r>
        <w:rPr>
          <w:rFonts w:ascii="Arial" w:hAnsi="Arial" w:eastAsia="Arial" w:cs="Arial"/>
          <w:b/>
          <w:i w:val="0"/>
          <w:sz w:val="21"/>
        </w:rPr>
        <w:t>Scor final = Test scris × 40% + Probă practică × 30% + Interviu × 15% + Dosar școlar × 15%</w:t>
      </w:r>
    </w:p>
    <w:tbl>
      <w:tblPr>
        <w:tblStyle w:val="TableGrid"/>
        <w:tblW w:type="auto" w:w="0"/>
        <w:jc w:val="center"/>
        <w:tblLayout w:type="fixed"/>
        <w:tblLook w:firstColumn="1" w:firstRow="1" w:lastColumn="0" w:lastRow="0" w:noHBand="0" w:noVBand="1" w:val="04A0"/>
      </w:tblPr>
      <w:tblGrid>
        <w:gridCol w:w="3345"/>
        <w:gridCol w:w="3345"/>
        <w:gridCol w:w="3345"/>
      </w:tblGrid>
      <w:tr>
        <w:trPr>
          <w:tblHeader w:val="true"/>
        </w:trPr>
        <w:tc>
          <w:tcPr>
            <w:tcW w:type="dxa" w:w="4535"/>
            <w:tcMar>
              <w:top w:w="75" w:type="dxa"/>
              <w:start w:w="85" w:type="dxa"/>
              <w:bottom w:w="75" w:type="dxa"/>
              <w:end w:w="85" w:type="dxa"/>
            </w:tcMar>
            <w:shd w:fill="E7E7E7"/>
            <w:vAlign w:val="center"/>
          </w:tcPr>
          <w:p>
            <w:pPr>
              <w:keepNext w:val="0"/>
              <w:spacing w:after="0" w:before="0" w:line="240" w:lineRule="auto"/>
              <w:jc w:val="center"/>
            </w:pPr>
            <w:r>
              <w:rPr>
                <w:rFonts w:ascii="Arial" w:hAnsi="Arial" w:eastAsia="Arial" w:cs="Arial"/>
                <w:b/>
                <w:i w:val="0"/>
                <w:sz w:val="18"/>
              </w:rPr>
              <w:t>Componentă</w:t>
            </w:r>
          </w:p>
        </w:tc>
        <w:tc>
          <w:tcPr>
            <w:tcW w:type="dxa" w:w="2268"/>
            <w:tcMar>
              <w:top w:w="75" w:type="dxa"/>
              <w:start w:w="85" w:type="dxa"/>
              <w:bottom w:w="75" w:type="dxa"/>
              <w:end w:w="85" w:type="dxa"/>
            </w:tcMar>
            <w:shd w:fill="E7E7E7"/>
            <w:vAlign w:val="center"/>
          </w:tcPr>
          <w:p>
            <w:pPr>
              <w:keepNext w:val="0"/>
              <w:spacing w:after="0" w:before="0" w:line="240" w:lineRule="auto"/>
              <w:jc w:val="center"/>
            </w:pPr>
            <w:r>
              <w:rPr>
                <w:rFonts w:ascii="Arial" w:hAnsi="Arial" w:eastAsia="Arial" w:cs="Arial"/>
                <w:b/>
                <w:i w:val="0"/>
                <w:sz w:val="18"/>
              </w:rPr>
              <w:t>Pondere</w:t>
            </w:r>
          </w:p>
        </w:tc>
        <w:tc>
          <w:tcPr>
            <w:tcW w:type="dxa" w:w="3118"/>
            <w:tcMar>
              <w:top w:w="75" w:type="dxa"/>
              <w:start w:w="85" w:type="dxa"/>
              <w:bottom w:w="75" w:type="dxa"/>
              <w:end w:w="85" w:type="dxa"/>
            </w:tcMar>
            <w:shd w:fill="E7E7E7"/>
            <w:vAlign w:val="center"/>
          </w:tcPr>
          <w:p>
            <w:pPr>
              <w:keepNext w:val="0"/>
              <w:spacing w:after="0" w:before="0" w:line="240" w:lineRule="auto"/>
              <w:jc w:val="center"/>
            </w:pPr>
            <w:r>
              <w:rPr>
                <w:rFonts w:ascii="Arial" w:hAnsi="Arial" w:eastAsia="Arial" w:cs="Arial"/>
                <w:b/>
                <w:i w:val="0"/>
                <w:sz w:val="18"/>
              </w:rPr>
              <w:t>Condiție</w:t>
            </w:r>
          </w:p>
        </w:tc>
      </w:tr>
      <w:tr>
        <w:trPr>
          <w:cantSplit/>
        </w:trPr>
        <w:tc>
          <w:tcPr>
            <w:tcW w:type="dxa" w:w="4535"/>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Test scris</w:t>
            </w:r>
          </w:p>
        </w:tc>
        <w:tc>
          <w:tcPr>
            <w:tcW w:type="dxa" w:w="2268"/>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40 puncte</w:t>
            </w:r>
          </w:p>
        </w:tc>
        <w:tc>
          <w:tcPr>
            <w:tcW w:type="dxa" w:w="3118"/>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Minimum 60/100 la probă</w:t>
            </w:r>
          </w:p>
        </w:tc>
      </w:tr>
      <w:tr>
        <w:trPr>
          <w:cantSplit/>
        </w:trPr>
        <w:tc>
          <w:tcPr>
            <w:tcW w:type="dxa" w:w="4535"/>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Probă practică integrată</w:t>
            </w:r>
          </w:p>
        </w:tc>
        <w:tc>
          <w:tcPr>
            <w:tcW w:type="dxa" w:w="2268"/>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30 puncte</w:t>
            </w:r>
          </w:p>
        </w:tc>
        <w:tc>
          <w:tcPr>
            <w:tcW w:type="dxa" w:w="3118"/>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Minimum 60/100 la probă</w:t>
            </w:r>
          </w:p>
        </w:tc>
      </w:tr>
      <w:tr>
        <w:trPr>
          <w:cantSplit/>
        </w:trPr>
        <w:tc>
          <w:tcPr>
            <w:tcW w:type="dxa" w:w="4535"/>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Interviu elev + părinte</w:t>
            </w:r>
          </w:p>
        </w:tc>
        <w:tc>
          <w:tcPr>
            <w:tcW w:type="dxa" w:w="2268"/>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15 puncte</w:t>
            </w:r>
          </w:p>
        </w:tc>
        <w:tc>
          <w:tcPr>
            <w:tcW w:type="dxa" w:w="3118"/>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Fără prag separat</w:t>
            </w:r>
          </w:p>
        </w:tc>
      </w:tr>
      <w:tr>
        <w:trPr>
          <w:cantSplit/>
        </w:trPr>
        <w:tc>
          <w:tcPr>
            <w:tcW w:type="dxa" w:w="4535"/>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Dosar școlar</w:t>
            </w:r>
          </w:p>
        </w:tc>
        <w:tc>
          <w:tcPr>
            <w:tcW w:type="dxa" w:w="2268"/>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15 puncte</w:t>
            </w:r>
          </w:p>
        </w:tc>
        <w:tc>
          <w:tcPr>
            <w:tcW w:type="dxa" w:w="3118"/>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Fără prag separat</w:t>
            </w:r>
          </w:p>
        </w:tc>
      </w:tr>
      <w:tr>
        <w:trPr>
          <w:cantSplit/>
        </w:trPr>
        <w:tc>
          <w:tcPr>
            <w:tcW w:type="dxa" w:w="4535"/>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TOTAL</w:t>
            </w:r>
          </w:p>
        </w:tc>
        <w:tc>
          <w:tcPr>
            <w:tcW w:type="dxa" w:w="2268"/>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100 puncte</w:t>
            </w:r>
          </w:p>
        </w:tc>
        <w:tc>
          <w:tcPr>
            <w:tcW w:type="dxa" w:w="3118"/>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Minimum 65/100 pentru admitere</w:t>
            </w:r>
          </w:p>
        </w:tc>
      </w:tr>
    </w:tbl>
    <w:p>
      <w:pPr>
        <w:keepNext w:val="0"/>
        <w:spacing w:after="46" w:before="0" w:line="254" w:lineRule="auto"/>
        <w:ind w:left="351" w:hanging="351"/>
      </w:pPr>
      <w:r>
        <w:rPr>
          <w:rFonts w:ascii="Arial" w:hAnsi="Arial" w:eastAsia="Arial" w:cs="Arial"/>
          <w:b/>
          <w:i w:val="0"/>
          <w:sz w:val="20"/>
        </w:rPr>
        <w:t xml:space="preserve">6.2. </w:t>
      </w:r>
      <w:r>
        <w:rPr>
          <w:rFonts w:ascii="Arial" w:hAnsi="Arial" w:eastAsia="Arial" w:cs="Arial"/>
          <w:b w:val="0"/>
          <w:i w:val="0"/>
          <w:sz w:val="20"/>
        </w:rPr>
        <w:t>Candidatul care nu atinge pragul de 60/100 la testul scris nu avansează la proba practică. Candidatul care nu atinge 60/100 la proba practică nu poate fi declarat admis.</w:t>
      </w:r>
    </w:p>
    <w:p>
      <w:pPr>
        <w:keepNext w:val="0"/>
        <w:spacing w:after="46" w:before="0" w:line="254" w:lineRule="auto"/>
        <w:ind w:left="351" w:hanging="351"/>
      </w:pPr>
      <w:r>
        <w:rPr>
          <w:rFonts w:ascii="Arial" w:hAnsi="Arial" w:eastAsia="Arial" w:cs="Arial"/>
          <w:b/>
          <w:i w:val="0"/>
          <w:sz w:val="20"/>
        </w:rPr>
        <w:t xml:space="preserve">6.3. </w:t>
      </w:r>
      <w:r>
        <w:rPr>
          <w:rFonts w:ascii="Arial" w:hAnsi="Arial" w:eastAsia="Arial" w:cs="Arial"/>
          <w:b w:val="0"/>
          <w:i w:val="0"/>
          <w:sz w:val="20"/>
        </w:rPr>
        <w:t>Atingerea pragului final de 65/100 înseamnă eligibilitate pentru admitere, nu garantarea unui loc. Locurile se acordă în ordinea descrescătoare a scorului, în limita capacității totale anunțate pentru program.</w:t>
      </w:r>
    </w:p>
    <w:p>
      <w:pPr>
        <w:keepNext/>
        <w:spacing w:after="50" w:before="120" w:line="254" w:lineRule="auto"/>
      </w:pPr>
      <w:r>
        <w:rPr>
          <w:rFonts w:ascii="Arial" w:hAnsi="Arial" w:eastAsia="Arial" w:cs="Arial"/>
          <w:b/>
          <w:i w:val="0"/>
          <w:sz w:val="23"/>
        </w:rPr>
        <w:t>7. Grilele de evaluare</w:t>
      </w:r>
    </w:p>
    <w:p>
      <w:pPr>
        <w:keepNext w:val="0"/>
        <w:spacing w:after="60" w:before="0" w:line="254" w:lineRule="auto"/>
      </w:pPr>
      <w:r>
        <w:rPr>
          <w:rFonts w:ascii="Arial" w:hAnsi="Arial" w:eastAsia="Arial" w:cs="Arial"/>
          <w:b/>
          <w:i w:val="0"/>
          <w:sz w:val="19"/>
        </w:rPr>
        <w:t xml:space="preserve">7.1. Testul scris — 100 puncte: </w:t>
      </w:r>
      <w:r>
        <w:rPr>
          <w:rFonts w:ascii="Arial" w:hAnsi="Arial" w:eastAsia="Arial" w:cs="Arial"/>
          <w:b w:val="0"/>
          <w:i w:val="0"/>
          <w:sz w:val="19"/>
        </w:rPr>
        <w:t>aceeași structură procentuală este aplicată tuturor candidaților; conținutul este adaptat vârstei și caracterului integrat al programului.</w:t>
      </w:r>
    </w:p>
    <w:tbl>
      <w:tblPr>
        <w:tblStyle w:val="TableGrid"/>
        <w:tblW w:type="auto" w:w="0"/>
        <w:jc w:val="center"/>
        <w:tblLayout w:type="fixed"/>
        <w:tblLook w:firstColumn="1" w:firstRow="1" w:lastColumn="0" w:lastRow="0" w:noHBand="0" w:noVBand="1" w:val="04A0"/>
      </w:tblPr>
      <w:tblGrid>
        <w:gridCol w:w="3345"/>
        <w:gridCol w:w="3345"/>
        <w:gridCol w:w="3345"/>
      </w:tblGrid>
      <w:tr>
        <w:trPr>
          <w:tblHeader w:val="true"/>
        </w:trPr>
        <w:tc>
          <w:tcPr>
            <w:tcW w:type="dxa" w:w="2835"/>
            <w:tcMar>
              <w:top w:w="75" w:type="dxa"/>
              <w:start w:w="85" w:type="dxa"/>
              <w:bottom w:w="75" w:type="dxa"/>
              <w:end w:w="85" w:type="dxa"/>
            </w:tcMar>
            <w:shd w:fill="E7E7E7"/>
            <w:vAlign w:val="center"/>
          </w:tcPr>
          <w:p>
            <w:pPr>
              <w:keepNext w:val="0"/>
              <w:spacing w:after="0" w:before="0" w:line="240" w:lineRule="auto"/>
              <w:jc w:val="center"/>
            </w:pPr>
            <w:r>
              <w:rPr>
                <w:rFonts w:ascii="Arial" w:hAnsi="Arial" w:eastAsia="Arial" w:cs="Arial"/>
                <w:b/>
                <w:i w:val="0"/>
                <w:sz w:val="17"/>
              </w:rPr>
              <w:t>Criteriu</w:t>
            </w:r>
          </w:p>
        </w:tc>
        <w:tc>
          <w:tcPr>
            <w:tcW w:type="dxa" w:w="1304"/>
            <w:tcMar>
              <w:top w:w="75" w:type="dxa"/>
              <w:start w:w="85" w:type="dxa"/>
              <w:bottom w:w="75" w:type="dxa"/>
              <w:end w:w="85" w:type="dxa"/>
            </w:tcMar>
            <w:shd w:fill="E7E7E7"/>
            <w:vAlign w:val="center"/>
          </w:tcPr>
          <w:p>
            <w:pPr>
              <w:keepNext w:val="0"/>
              <w:spacing w:after="0" w:before="0" w:line="240" w:lineRule="auto"/>
              <w:jc w:val="center"/>
            </w:pPr>
            <w:r>
              <w:rPr>
                <w:rFonts w:ascii="Arial" w:hAnsi="Arial" w:eastAsia="Arial" w:cs="Arial"/>
                <w:b/>
                <w:i w:val="0"/>
                <w:sz w:val="17"/>
              </w:rPr>
              <w:t>Punctaj</w:t>
            </w:r>
          </w:p>
        </w:tc>
        <w:tc>
          <w:tcPr>
            <w:tcW w:type="dxa" w:w="5783"/>
            <w:tcMar>
              <w:top w:w="75" w:type="dxa"/>
              <w:start w:w="85" w:type="dxa"/>
              <w:bottom w:w="75" w:type="dxa"/>
              <w:end w:w="85" w:type="dxa"/>
            </w:tcMar>
            <w:shd w:fill="E7E7E7"/>
            <w:vAlign w:val="center"/>
          </w:tcPr>
          <w:p>
            <w:pPr>
              <w:keepNext w:val="0"/>
              <w:spacing w:after="0" w:before="0" w:line="240" w:lineRule="auto"/>
              <w:jc w:val="center"/>
            </w:pPr>
            <w:r>
              <w:rPr>
                <w:rFonts w:ascii="Arial" w:hAnsi="Arial" w:eastAsia="Arial" w:cs="Arial"/>
                <w:b/>
                <w:i w:val="0"/>
                <w:sz w:val="17"/>
              </w:rPr>
              <w:t>Ce se urmărește</w:t>
            </w:r>
          </w:p>
        </w:tc>
      </w:tr>
      <w:tr>
        <w:trPr>
          <w:cantSplit/>
        </w:trPr>
        <w:tc>
          <w:tcPr>
            <w:tcW w:type="dxa" w:w="2835"/>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Raționament logic</w:t>
            </w:r>
          </w:p>
        </w:tc>
        <w:tc>
          <w:tcPr>
            <w:tcW w:type="dxa" w:w="1304"/>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30</w:t>
            </w:r>
          </w:p>
        </w:tc>
        <w:tc>
          <w:tcPr>
            <w:tcW w:type="dxa" w:w="5783"/>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Claritatea pașilor, identificarea regulii, justificarea răspunsului.</w:t>
            </w:r>
          </w:p>
        </w:tc>
      </w:tr>
      <w:tr>
        <w:trPr>
          <w:cantSplit/>
        </w:trPr>
        <w:tc>
          <w:tcPr>
            <w:tcW w:type="dxa" w:w="2835"/>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Competențe STEM de bază</w:t>
            </w:r>
          </w:p>
        </w:tc>
        <w:tc>
          <w:tcPr>
            <w:tcW w:type="dxa" w:w="1304"/>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45</w:t>
            </w:r>
          </w:p>
        </w:tc>
        <w:tc>
          <w:tcPr>
            <w:tcW w:type="dxa" w:w="5783"/>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Corectitudinea metodei și utilizarea conceptelor relevante.</w:t>
            </w:r>
          </w:p>
        </w:tc>
      </w:tr>
      <w:tr>
        <w:trPr>
          <w:cantSplit/>
        </w:trPr>
        <w:tc>
          <w:tcPr>
            <w:tcW w:type="dxa" w:w="2835"/>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Problemă deschisă</w:t>
            </w:r>
          </w:p>
        </w:tc>
        <w:tc>
          <w:tcPr>
            <w:tcW w:type="dxa" w:w="1304"/>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25</w:t>
            </w:r>
          </w:p>
        </w:tc>
        <w:tc>
          <w:tcPr>
            <w:tcW w:type="dxa" w:w="5783"/>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Structura soluției, originalitatea, ipotezele și limitele explicate.</w:t>
            </w:r>
          </w:p>
        </w:tc>
      </w:tr>
    </w:tbl>
    <w:p>
      <w:pPr>
        <w:keepNext w:val="0"/>
        <w:spacing w:after="60" w:before="0" w:line="254" w:lineRule="auto"/>
      </w:pPr>
      <w:r>
        <w:rPr>
          <w:rFonts w:ascii="Arial" w:hAnsi="Arial" w:eastAsia="Arial" w:cs="Arial"/>
          <w:b/>
          <w:i w:val="0"/>
          <w:sz w:val="19"/>
        </w:rPr>
        <w:t xml:space="preserve">7.2. Proba practică integrată — 100 puncte: </w:t>
      </w:r>
      <w:r>
        <w:rPr>
          <w:rFonts w:ascii="Arial" w:hAnsi="Arial" w:eastAsia="Arial" w:cs="Arial"/>
          <w:b w:val="0"/>
          <w:i w:val="0"/>
          <w:sz w:val="19"/>
        </w:rPr>
        <w:t>candidații din aceeași categorie de vârstă primesc sarcini echivalente ca dificultate și timp.</w:t>
      </w:r>
    </w:p>
    <w:tbl>
      <w:tblPr>
        <w:tblStyle w:val="TableGrid"/>
        <w:tblW w:type="auto" w:w="0"/>
        <w:jc w:val="center"/>
        <w:tblLayout w:type="fixed"/>
        <w:tblLook w:firstColumn="1" w:firstRow="1" w:lastColumn="0" w:lastRow="0" w:noHBand="0" w:noVBand="1" w:val="04A0"/>
      </w:tblPr>
      <w:tblGrid>
        <w:gridCol w:w="5018"/>
        <w:gridCol w:w="5018"/>
      </w:tblGrid>
      <w:tr>
        <w:trPr>
          <w:tblHeader w:val="true"/>
        </w:trPr>
        <w:tc>
          <w:tcPr>
            <w:tcW w:type="dxa" w:w="8220"/>
            <w:tcMar>
              <w:top w:w="75" w:type="dxa"/>
              <w:start w:w="85" w:type="dxa"/>
              <w:bottom w:w="75" w:type="dxa"/>
              <w:end w:w="85" w:type="dxa"/>
            </w:tcMar>
            <w:shd w:fill="E7E7E7"/>
            <w:vAlign w:val="center"/>
          </w:tcPr>
          <w:p>
            <w:pPr>
              <w:keepNext w:val="0"/>
              <w:spacing w:after="0" w:before="0" w:line="240" w:lineRule="auto"/>
              <w:jc w:val="center"/>
            </w:pPr>
            <w:r>
              <w:rPr>
                <w:rFonts w:ascii="Arial" w:hAnsi="Arial" w:eastAsia="Arial" w:cs="Arial"/>
                <w:b/>
                <w:i w:val="0"/>
                <w:sz w:val="17"/>
              </w:rPr>
              <w:t>Criteriu</w:t>
            </w:r>
          </w:p>
        </w:tc>
        <w:tc>
          <w:tcPr>
            <w:tcW w:type="dxa" w:w="1701"/>
            <w:tcMar>
              <w:top w:w="75" w:type="dxa"/>
              <w:start w:w="85" w:type="dxa"/>
              <w:bottom w:w="75" w:type="dxa"/>
              <w:end w:w="85" w:type="dxa"/>
            </w:tcMar>
            <w:shd w:fill="E7E7E7"/>
            <w:vAlign w:val="center"/>
          </w:tcPr>
          <w:p>
            <w:pPr>
              <w:keepNext w:val="0"/>
              <w:spacing w:after="0" w:before="0" w:line="240" w:lineRule="auto"/>
              <w:jc w:val="center"/>
            </w:pPr>
            <w:r>
              <w:rPr>
                <w:rFonts w:ascii="Arial" w:hAnsi="Arial" w:eastAsia="Arial" w:cs="Arial"/>
                <w:b/>
                <w:i w:val="0"/>
                <w:sz w:val="17"/>
              </w:rPr>
              <w:t>Punctaj</w:t>
            </w:r>
          </w:p>
        </w:tc>
      </w:tr>
      <w:tr>
        <w:trPr>
          <w:cantSplit/>
        </w:trPr>
        <w:tc>
          <w:tcPr>
            <w:tcW w:type="dxa" w:w="8220"/>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Corectitudinea și gradul de finalizare a soluției</w:t>
            </w:r>
          </w:p>
        </w:tc>
        <w:tc>
          <w:tcPr>
            <w:tcW w:type="dxa" w:w="1701"/>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40</w:t>
            </w:r>
          </w:p>
        </w:tc>
      </w:tr>
      <w:tr>
        <w:trPr>
          <w:cantSplit/>
        </w:trPr>
        <w:tc>
          <w:tcPr>
            <w:tcW w:type="dxa" w:w="8220"/>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Raționamentul și justificarea alegerilor</w:t>
            </w:r>
          </w:p>
        </w:tc>
        <w:tc>
          <w:tcPr>
            <w:tcW w:type="dxa" w:w="1701"/>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30</w:t>
            </w:r>
          </w:p>
        </w:tc>
      </w:tr>
      <w:tr>
        <w:trPr>
          <w:cantSplit/>
        </w:trPr>
        <w:tc>
          <w:tcPr>
            <w:tcW w:type="dxa" w:w="8220"/>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Autonomia, adaptarea și creativitatea abordării</w:t>
            </w:r>
          </w:p>
        </w:tc>
        <w:tc>
          <w:tcPr>
            <w:tcW w:type="dxa" w:w="1701"/>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20</w:t>
            </w:r>
          </w:p>
        </w:tc>
      </w:tr>
      <w:tr>
        <w:trPr>
          <w:cantSplit/>
        </w:trPr>
        <w:tc>
          <w:tcPr>
            <w:tcW w:type="dxa" w:w="8220"/>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Claritatea prezentării soluției</w:t>
            </w:r>
          </w:p>
        </w:tc>
        <w:tc>
          <w:tcPr>
            <w:tcW w:type="dxa" w:w="1701"/>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10</w:t>
            </w:r>
          </w:p>
        </w:tc>
      </w:tr>
    </w:tbl>
    <w:p>
      <w:pPr>
        <w:keepNext w:val="0"/>
        <w:spacing w:after="60" w:before="0" w:line="254" w:lineRule="auto"/>
      </w:pPr>
      <w:r>
        <w:rPr>
          <w:rFonts w:ascii="Arial" w:hAnsi="Arial" w:eastAsia="Arial" w:cs="Arial"/>
          <w:b/>
          <w:i w:val="0"/>
          <w:sz w:val="19"/>
        </w:rPr>
        <w:t xml:space="preserve">7.3. Interviul — 100 puncte: </w:t>
      </w:r>
      <w:r>
        <w:rPr>
          <w:rFonts w:ascii="Arial" w:hAnsi="Arial" w:eastAsia="Arial" w:cs="Arial"/>
          <w:b w:val="0"/>
          <w:i w:val="0"/>
          <w:sz w:val="19"/>
        </w:rPr>
        <w:t>întrebările de bază și timpul alocat sunt aceleași pentru toți candidații.</w:t>
      </w:r>
    </w:p>
    <w:tbl>
      <w:tblPr>
        <w:tblStyle w:val="TableGrid"/>
        <w:tblW w:type="auto" w:w="0"/>
        <w:jc w:val="center"/>
        <w:tblLayout w:type="fixed"/>
        <w:tblLook w:firstColumn="1" w:firstRow="1" w:lastColumn="0" w:lastRow="0" w:noHBand="0" w:noVBand="1" w:val="04A0"/>
      </w:tblPr>
      <w:tblGrid>
        <w:gridCol w:w="5018"/>
        <w:gridCol w:w="5018"/>
      </w:tblGrid>
      <w:tr>
        <w:trPr>
          <w:tblHeader w:val="true"/>
        </w:trPr>
        <w:tc>
          <w:tcPr>
            <w:tcW w:type="dxa" w:w="8220"/>
            <w:tcMar>
              <w:top w:w="75" w:type="dxa"/>
              <w:start w:w="85" w:type="dxa"/>
              <w:bottom w:w="75" w:type="dxa"/>
              <w:end w:w="85" w:type="dxa"/>
            </w:tcMar>
            <w:shd w:fill="E7E7E7"/>
            <w:vAlign w:val="center"/>
          </w:tcPr>
          <w:p>
            <w:pPr>
              <w:keepNext w:val="0"/>
              <w:spacing w:after="0" w:before="0" w:line="240" w:lineRule="auto"/>
              <w:jc w:val="center"/>
            </w:pPr>
            <w:r>
              <w:rPr>
                <w:rFonts w:ascii="Arial" w:hAnsi="Arial" w:eastAsia="Arial" w:cs="Arial"/>
                <w:b/>
                <w:i w:val="0"/>
                <w:sz w:val="17"/>
              </w:rPr>
              <w:t>Criteriu</w:t>
            </w:r>
          </w:p>
        </w:tc>
        <w:tc>
          <w:tcPr>
            <w:tcW w:type="dxa" w:w="1701"/>
            <w:tcMar>
              <w:top w:w="75" w:type="dxa"/>
              <w:start w:w="85" w:type="dxa"/>
              <w:bottom w:w="75" w:type="dxa"/>
              <w:end w:w="85" w:type="dxa"/>
            </w:tcMar>
            <w:shd w:fill="E7E7E7"/>
            <w:vAlign w:val="center"/>
          </w:tcPr>
          <w:p>
            <w:pPr>
              <w:keepNext w:val="0"/>
              <w:spacing w:after="0" w:before="0" w:line="240" w:lineRule="auto"/>
              <w:jc w:val="center"/>
            </w:pPr>
            <w:r>
              <w:rPr>
                <w:rFonts w:ascii="Arial" w:hAnsi="Arial" w:eastAsia="Arial" w:cs="Arial"/>
                <w:b/>
                <w:i w:val="0"/>
                <w:sz w:val="17"/>
              </w:rPr>
              <w:t>Punctaj</w:t>
            </w:r>
          </w:p>
        </w:tc>
      </w:tr>
      <w:tr>
        <w:trPr>
          <w:cantSplit/>
        </w:trPr>
        <w:tc>
          <w:tcPr>
            <w:tcW w:type="dxa" w:w="8220"/>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Motivație autentică și interes pentru domeniu</w:t>
            </w:r>
          </w:p>
        </w:tc>
        <w:tc>
          <w:tcPr>
            <w:tcW w:type="dxa" w:w="1701"/>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25</w:t>
            </w:r>
          </w:p>
        </w:tc>
      </w:tr>
      <w:tr>
        <w:trPr>
          <w:cantSplit/>
        </w:trPr>
        <w:tc>
          <w:tcPr>
            <w:tcW w:type="dxa" w:w="8220"/>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Perseverență și modul de abordare a dificultăților</w:t>
            </w:r>
          </w:p>
        </w:tc>
        <w:tc>
          <w:tcPr>
            <w:tcW w:type="dxa" w:w="1701"/>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25</w:t>
            </w:r>
          </w:p>
        </w:tc>
      </w:tr>
      <w:tr>
        <w:trPr>
          <w:cantSplit/>
        </w:trPr>
        <w:tc>
          <w:tcPr>
            <w:tcW w:type="dxa" w:w="8220"/>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Înțelegerea volumului de muncă și angajamentul de participare</w:t>
            </w:r>
          </w:p>
        </w:tc>
        <w:tc>
          <w:tcPr>
            <w:tcW w:type="dxa" w:w="1701"/>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20</w:t>
            </w:r>
          </w:p>
        </w:tc>
      </w:tr>
      <w:tr>
        <w:trPr>
          <w:cantSplit/>
        </w:trPr>
        <w:tc>
          <w:tcPr>
            <w:tcW w:type="dxa" w:w="8220"/>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Obiective de învățare realiste și asumate</w:t>
            </w:r>
          </w:p>
        </w:tc>
        <w:tc>
          <w:tcPr>
            <w:tcW w:type="dxa" w:w="1701"/>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15</w:t>
            </w:r>
          </w:p>
        </w:tc>
      </w:tr>
      <w:tr>
        <w:trPr>
          <w:cantSplit/>
        </w:trPr>
        <w:tc>
          <w:tcPr>
            <w:tcW w:type="dxa" w:w="8220"/>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Comunicare, colaborare și receptivitate la feedback</w:t>
            </w:r>
          </w:p>
        </w:tc>
        <w:tc>
          <w:tcPr>
            <w:tcW w:type="dxa" w:w="1701"/>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15</w:t>
            </w:r>
          </w:p>
        </w:tc>
      </w:tr>
    </w:tbl>
    <w:p>
      <w:pPr>
        <w:keepNext w:val="0"/>
        <w:spacing w:after="60" w:before="0" w:line="254" w:lineRule="auto"/>
      </w:pPr>
      <w:r>
        <w:rPr>
          <w:rFonts w:ascii="Arial" w:hAnsi="Arial" w:eastAsia="Arial" w:cs="Arial"/>
          <w:b/>
          <w:i w:val="0"/>
          <w:sz w:val="19"/>
        </w:rPr>
        <w:t xml:space="preserve">7.4. Dosarul școlar — 100 puncte: </w:t>
      </w:r>
      <w:r>
        <w:rPr>
          <w:rFonts w:ascii="Arial" w:hAnsi="Arial" w:eastAsia="Arial" w:cs="Arial"/>
          <w:b w:val="0"/>
          <w:i w:val="0"/>
          <w:sz w:val="19"/>
        </w:rPr>
        <w:t>premiile nu sunt obligatorii; se punctează și efortul documentat.</w:t>
      </w:r>
    </w:p>
    <w:tbl>
      <w:tblPr>
        <w:tblStyle w:val="TableGrid"/>
        <w:tblW w:type="auto" w:w="0"/>
        <w:jc w:val="center"/>
        <w:tblLayout w:type="fixed"/>
        <w:tblLook w:firstColumn="1" w:firstRow="1" w:lastColumn="0" w:lastRow="0" w:noHBand="0" w:noVBand="1" w:val="04A0"/>
      </w:tblPr>
      <w:tblGrid>
        <w:gridCol w:w="5018"/>
        <w:gridCol w:w="5018"/>
      </w:tblGrid>
      <w:tr>
        <w:trPr>
          <w:tblHeader w:val="true"/>
        </w:trPr>
        <w:tc>
          <w:tcPr>
            <w:tcW w:type="dxa" w:w="8220"/>
            <w:tcMar>
              <w:top w:w="75" w:type="dxa"/>
              <w:start w:w="85" w:type="dxa"/>
              <w:bottom w:w="75" w:type="dxa"/>
              <w:end w:w="85" w:type="dxa"/>
            </w:tcMar>
            <w:shd w:fill="E7E7E7"/>
            <w:vAlign w:val="center"/>
          </w:tcPr>
          <w:p>
            <w:pPr>
              <w:keepNext w:val="0"/>
              <w:spacing w:after="0" w:before="0" w:line="240" w:lineRule="auto"/>
              <w:jc w:val="center"/>
            </w:pPr>
            <w:r>
              <w:rPr>
                <w:rFonts w:ascii="Arial" w:hAnsi="Arial" w:eastAsia="Arial" w:cs="Arial"/>
                <w:b/>
                <w:i w:val="0"/>
                <w:sz w:val="17"/>
              </w:rPr>
              <w:t>Criteriu</w:t>
            </w:r>
          </w:p>
        </w:tc>
        <w:tc>
          <w:tcPr>
            <w:tcW w:type="dxa" w:w="1701"/>
            <w:tcMar>
              <w:top w:w="75" w:type="dxa"/>
              <w:start w:w="85" w:type="dxa"/>
              <w:bottom w:w="75" w:type="dxa"/>
              <w:end w:w="85" w:type="dxa"/>
            </w:tcMar>
            <w:shd w:fill="E7E7E7"/>
            <w:vAlign w:val="center"/>
          </w:tcPr>
          <w:p>
            <w:pPr>
              <w:keepNext w:val="0"/>
              <w:spacing w:after="0" w:before="0" w:line="240" w:lineRule="auto"/>
              <w:jc w:val="center"/>
            </w:pPr>
            <w:r>
              <w:rPr>
                <w:rFonts w:ascii="Arial" w:hAnsi="Arial" w:eastAsia="Arial" w:cs="Arial"/>
                <w:b/>
                <w:i w:val="0"/>
                <w:sz w:val="17"/>
              </w:rPr>
              <w:t>Punctaj</w:t>
            </w:r>
          </w:p>
        </w:tc>
      </w:tr>
      <w:tr>
        <w:trPr>
          <w:cantSplit/>
        </w:trPr>
        <w:tc>
          <w:tcPr>
            <w:tcW w:type="dxa" w:w="8220"/>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Mediile la disciplinele STEM relevante programului</w:t>
            </w:r>
          </w:p>
        </w:tc>
        <w:tc>
          <w:tcPr>
            <w:tcW w:type="dxa" w:w="1701"/>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70</w:t>
            </w:r>
          </w:p>
        </w:tc>
      </w:tr>
      <w:tr>
        <w:trPr>
          <w:cantSplit/>
        </w:trPr>
        <w:tc>
          <w:tcPr>
            <w:tcW w:type="dxa" w:w="8220"/>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Proiecte, cursuri, cluburi sau activitate autodidactă documentată</w:t>
            </w:r>
          </w:p>
        </w:tc>
        <w:tc>
          <w:tcPr>
            <w:tcW w:type="dxa" w:w="1701"/>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15</w:t>
            </w:r>
          </w:p>
        </w:tc>
      </w:tr>
      <w:tr>
        <w:trPr>
          <w:cantSplit/>
        </w:trPr>
        <w:tc>
          <w:tcPr>
            <w:tcW w:type="dxa" w:w="8220"/>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Participare la concursuri/olimpiade/hackathoane</w:t>
            </w:r>
          </w:p>
        </w:tc>
        <w:tc>
          <w:tcPr>
            <w:tcW w:type="dxa" w:w="1701"/>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10</w:t>
            </w:r>
          </w:p>
        </w:tc>
      </w:tr>
      <w:tr>
        <w:trPr>
          <w:cantSplit/>
        </w:trPr>
        <w:tc>
          <w:tcPr>
            <w:tcW w:type="dxa" w:w="8220"/>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Premii sau rezultate deosebite, dacă există</w:t>
            </w:r>
          </w:p>
        </w:tc>
        <w:tc>
          <w:tcPr>
            <w:tcW w:type="dxa" w:w="1701"/>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5</w:t>
            </w:r>
          </w:p>
        </w:tc>
      </w:tr>
    </w:tbl>
    <w:p>
      <w:r>
        <w:br w:type="page"/>
      </w:r>
    </w:p>
    <w:p>
      <w:pPr>
        <w:keepNext/>
        <w:spacing w:after="50" w:before="120" w:line="254" w:lineRule="auto"/>
      </w:pPr>
      <w:r>
        <w:rPr>
          <w:rFonts w:ascii="Arial" w:hAnsi="Arial" w:eastAsia="Arial" w:cs="Arial"/>
          <w:b/>
          <w:i w:val="0"/>
          <w:sz w:val="23"/>
        </w:rPr>
        <w:t>8. Clasamentul, departajarea și lista de așteptare</w:t>
      </w:r>
    </w:p>
    <w:p>
      <w:pPr>
        <w:keepNext w:val="0"/>
        <w:spacing w:after="46" w:before="0" w:line="254" w:lineRule="auto"/>
        <w:ind w:left="351" w:hanging="351"/>
      </w:pPr>
      <w:r>
        <w:rPr>
          <w:rFonts w:ascii="Arial" w:hAnsi="Arial" w:eastAsia="Arial" w:cs="Arial"/>
          <w:b/>
          <w:i w:val="0"/>
          <w:sz w:val="20"/>
        </w:rPr>
        <w:t xml:space="preserve">8.1. </w:t>
      </w:r>
      <w:r>
        <w:rPr>
          <w:rFonts w:ascii="Arial" w:hAnsi="Arial" w:eastAsia="Arial" w:cs="Arial"/>
          <w:b w:val="0"/>
          <w:i w:val="0"/>
          <w:sz w:val="20"/>
        </w:rPr>
        <w:t>Clasamentul se întocmește pentru programul integrat, în ordinea descrescătoare a scorului final. Nu se realizează clasamente separate pe discipline.</w:t>
      </w:r>
    </w:p>
    <w:p>
      <w:pPr>
        <w:keepNext w:val="0"/>
        <w:spacing w:after="46" w:before="0" w:line="254" w:lineRule="auto"/>
        <w:ind w:left="351" w:hanging="351"/>
      </w:pPr>
      <w:r>
        <w:rPr>
          <w:rFonts w:ascii="Arial" w:hAnsi="Arial" w:eastAsia="Arial" w:cs="Arial"/>
          <w:b/>
          <w:i w:val="0"/>
          <w:sz w:val="20"/>
        </w:rPr>
        <w:t xml:space="preserve">8.2. </w:t>
      </w:r>
      <w:r>
        <w:rPr>
          <w:rFonts w:ascii="Arial" w:hAnsi="Arial" w:eastAsia="Arial" w:cs="Arial"/>
          <w:b w:val="0"/>
          <w:i w:val="0"/>
          <w:sz w:val="20"/>
        </w:rPr>
        <w:t>Dacă doi sau mai mulți candidați au același scor final, departajarea se face succesiv după:</w:t>
      </w:r>
    </w:p>
    <w:p>
      <w:pPr>
        <w:keepNext w:val="0"/>
        <w:spacing w:after="30" w:before="0" w:line="254" w:lineRule="auto"/>
        <w:ind w:left="386" w:hanging="181"/>
      </w:pPr>
      <w:r>
        <w:rPr>
          <w:rFonts w:ascii="Arial" w:hAnsi="Arial" w:eastAsia="Arial" w:cs="Arial"/>
          <w:b/>
          <w:i w:val="0"/>
          <w:sz w:val="20"/>
        </w:rPr>
        <w:t xml:space="preserve">• </w:t>
      </w:r>
      <w:r>
        <w:rPr>
          <w:rFonts w:ascii="Arial" w:hAnsi="Arial" w:eastAsia="Arial" w:cs="Arial"/>
          <w:b w:val="0"/>
          <w:i w:val="0"/>
          <w:sz w:val="20"/>
        </w:rPr>
        <w:t>scorul mai mare la proba practică;</w:t>
      </w:r>
    </w:p>
    <w:p>
      <w:pPr>
        <w:keepNext w:val="0"/>
        <w:spacing w:after="30" w:before="0" w:line="254" w:lineRule="auto"/>
        <w:ind w:left="386" w:hanging="181"/>
      </w:pPr>
      <w:r>
        <w:rPr>
          <w:rFonts w:ascii="Arial" w:hAnsi="Arial" w:eastAsia="Arial" w:cs="Arial"/>
          <w:b/>
          <w:i w:val="0"/>
          <w:sz w:val="20"/>
        </w:rPr>
        <w:t xml:space="preserve">• </w:t>
      </w:r>
      <w:r>
        <w:rPr>
          <w:rFonts w:ascii="Arial" w:hAnsi="Arial" w:eastAsia="Arial" w:cs="Arial"/>
          <w:b w:val="0"/>
          <w:i w:val="0"/>
          <w:sz w:val="20"/>
        </w:rPr>
        <w:t>scorul mai mare la testul scris;</w:t>
      </w:r>
    </w:p>
    <w:p>
      <w:pPr>
        <w:keepNext w:val="0"/>
        <w:spacing w:after="30" w:before="0" w:line="254" w:lineRule="auto"/>
        <w:ind w:left="386" w:hanging="181"/>
      </w:pPr>
      <w:r>
        <w:rPr>
          <w:rFonts w:ascii="Arial" w:hAnsi="Arial" w:eastAsia="Arial" w:cs="Arial"/>
          <w:b/>
          <w:i w:val="0"/>
          <w:sz w:val="20"/>
        </w:rPr>
        <w:t xml:space="preserve">• </w:t>
      </w:r>
      <w:r>
        <w:rPr>
          <w:rFonts w:ascii="Arial" w:hAnsi="Arial" w:eastAsia="Arial" w:cs="Arial"/>
          <w:b w:val="0"/>
          <w:i w:val="0"/>
          <w:sz w:val="20"/>
        </w:rPr>
        <w:t>scorul mai mare la dosarul școlar;</w:t>
      </w:r>
    </w:p>
    <w:p>
      <w:pPr>
        <w:keepNext w:val="0"/>
        <w:spacing w:after="30" w:before="0" w:line="254" w:lineRule="auto"/>
        <w:ind w:left="386" w:hanging="181"/>
      </w:pPr>
      <w:r>
        <w:rPr>
          <w:rFonts w:ascii="Arial" w:hAnsi="Arial" w:eastAsia="Arial" w:cs="Arial"/>
          <w:b/>
          <w:i w:val="0"/>
          <w:sz w:val="20"/>
        </w:rPr>
        <w:t xml:space="preserve">• </w:t>
      </w:r>
      <w:r>
        <w:rPr>
          <w:rFonts w:ascii="Arial" w:hAnsi="Arial" w:eastAsia="Arial" w:cs="Arial"/>
          <w:b w:val="0"/>
          <w:i w:val="0"/>
          <w:sz w:val="20"/>
        </w:rPr>
        <w:t>scorul mai mare la interviu;</w:t>
      </w:r>
    </w:p>
    <w:p>
      <w:pPr>
        <w:keepNext w:val="0"/>
        <w:spacing w:after="30" w:before="0" w:line="254" w:lineRule="auto"/>
        <w:ind w:left="386" w:hanging="181"/>
      </w:pPr>
      <w:r>
        <w:rPr>
          <w:rFonts w:ascii="Arial" w:hAnsi="Arial" w:eastAsia="Arial" w:cs="Arial"/>
          <w:b/>
          <w:i w:val="0"/>
          <w:sz w:val="20"/>
        </w:rPr>
        <w:t xml:space="preserve">• </w:t>
      </w:r>
      <w:r>
        <w:rPr>
          <w:rFonts w:ascii="Arial" w:hAnsi="Arial" w:eastAsia="Arial" w:cs="Arial"/>
          <w:b w:val="0"/>
          <w:i w:val="0"/>
          <w:sz w:val="20"/>
        </w:rPr>
        <w:t>dacă egalitatea persistă, tragere la sorți documentată, în prezența a minimum doi membri ai comisiei și, opțional, a unui observator.</w:t>
      </w:r>
    </w:p>
    <w:p>
      <w:pPr>
        <w:keepNext w:val="0"/>
        <w:spacing w:after="46" w:before="0" w:line="254" w:lineRule="auto"/>
        <w:ind w:left="351" w:hanging="351"/>
      </w:pPr>
      <w:r>
        <w:rPr>
          <w:rFonts w:ascii="Arial" w:hAnsi="Arial" w:eastAsia="Arial" w:cs="Arial"/>
          <w:b/>
          <w:i w:val="0"/>
          <w:sz w:val="20"/>
        </w:rPr>
        <w:t xml:space="preserve">8.3. </w:t>
      </w:r>
      <w:r>
        <w:rPr>
          <w:rFonts w:ascii="Arial" w:hAnsi="Arial" w:eastAsia="Arial" w:cs="Arial"/>
          <w:b w:val="0"/>
          <w:i w:val="0"/>
          <w:sz w:val="20"/>
        </w:rPr>
        <w:t>Candidații care au obținut minimum 65 de puncte, dar nu au prins un loc, sunt incluși pe lista de așteptare în ordinea punctajului.</w:t>
      </w:r>
    </w:p>
    <w:p>
      <w:pPr>
        <w:keepNext w:val="0"/>
        <w:spacing w:after="46" w:before="0" w:line="254" w:lineRule="auto"/>
        <w:ind w:left="351" w:hanging="351"/>
      </w:pPr>
      <w:r>
        <w:rPr>
          <w:rFonts w:ascii="Arial" w:hAnsi="Arial" w:eastAsia="Arial" w:cs="Arial"/>
          <w:b/>
          <w:i w:val="0"/>
          <w:sz w:val="20"/>
        </w:rPr>
        <w:t xml:space="preserve">8.4. </w:t>
      </w:r>
      <w:r>
        <w:rPr>
          <w:rFonts w:ascii="Arial" w:hAnsi="Arial" w:eastAsia="Arial" w:cs="Arial"/>
          <w:b w:val="0"/>
          <w:i w:val="0"/>
          <w:sz w:val="20"/>
        </w:rPr>
        <w:t>Un loc devenit disponibil este oferit primului candidat de pe lista generală de așteptare. Termenul de acceptare este cel indicat în oferta transmisă.</w:t>
      </w:r>
    </w:p>
    <w:p>
      <w:pPr>
        <w:keepNext w:val="0"/>
        <w:spacing w:after="46" w:before="0" w:line="254" w:lineRule="auto"/>
        <w:ind w:left="351" w:hanging="351"/>
      </w:pPr>
      <w:r>
        <w:rPr>
          <w:rFonts w:ascii="Arial" w:hAnsi="Arial" w:eastAsia="Arial" w:cs="Arial"/>
          <w:b/>
          <w:i w:val="0"/>
          <w:sz w:val="20"/>
        </w:rPr>
        <w:t xml:space="preserve">8.5. </w:t>
      </w:r>
      <w:r>
        <w:rPr>
          <w:rFonts w:ascii="Arial" w:hAnsi="Arial" w:eastAsia="Arial" w:cs="Arial"/>
          <w:b w:val="0"/>
          <w:i w:val="0"/>
          <w:sz w:val="20"/>
        </w:rPr>
        <w:t>Absența nejustificată de la o probă conduce la eliminare. Pentru o situație obiectivă documentată, organizatorul poate oferi o singură reprogramare, dacă aceasta nu afectează egalitatea procesului.</w:t>
      </w:r>
    </w:p>
    <w:p>
      <w:pPr>
        <w:keepNext w:val="0"/>
        <w:spacing w:after="46" w:before="0" w:line="254" w:lineRule="auto"/>
        <w:ind w:left="351" w:hanging="351"/>
      </w:pPr>
      <w:r>
        <w:rPr>
          <w:rFonts w:ascii="Arial" w:hAnsi="Arial" w:eastAsia="Arial" w:cs="Arial"/>
          <w:b/>
          <w:i w:val="0"/>
          <w:sz w:val="20"/>
        </w:rPr>
        <w:t xml:space="preserve">8.6. </w:t>
      </w:r>
      <w:r>
        <w:rPr>
          <w:rFonts w:ascii="Arial" w:hAnsi="Arial" w:eastAsia="Arial" w:cs="Arial"/>
          <w:b w:val="0"/>
          <w:i w:val="0"/>
          <w:sz w:val="20"/>
        </w:rPr>
        <w:t>După admitere și începerea programului, mentorii pot realiza evaluări diagnostice și pot organiza grupe de învățare sau module de lucru în funcție de nivelul de pregătire, ritmul de progres, interesele demonstrate, nevoile educaționale și capacitatea grupelor.</w:t>
      </w:r>
    </w:p>
    <w:p>
      <w:pPr>
        <w:keepNext w:val="0"/>
        <w:spacing w:after="46" w:before="0" w:line="254" w:lineRule="auto"/>
        <w:ind w:left="351" w:hanging="351"/>
      </w:pPr>
      <w:r>
        <w:rPr>
          <w:rFonts w:ascii="Arial" w:hAnsi="Arial" w:eastAsia="Arial" w:cs="Arial"/>
          <w:b/>
          <w:i w:val="0"/>
          <w:sz w:val="20"/>
        </w:rPr>
        <w:t xml:space="preserve">8.7. </w:t>
      </w:r>
      <w:r>
        <w:rPr>
          <w:rFonts w:ascii="Arial" w:hAnsi="Arial" w:eastAsia="Arial" w:cs="Arial"/>
          <w:b w:val="0"/>
          <w:i w:val="0"/>
          <w:sz w:val="20"/>
        </w:rPr>
        <w:t>Repartizarea ulterioară pe grupe nu constituie o nouă selecție și nu afectează statutul de admis, bursa acordată, costul programului sau dreptul elevului de a participa la programul integrat.</w:t>
      </w:r>
    </w:p>
    <w:p>
      <w:pPr>
        <w:keepNext w:val="0"/>
        <w:spacing w:after="46" w:before="0" w:line="254" w:lineRule="auto"/>
        <w:ind w:left="351" w:hanging="351"/>
      </w:pPr>
      <w:r>
        <w:rPr>
          <w:rFonts w:ascii="Arial" w:hAnsi="Arial" w:eastAsia="Arial" w:cs="Arial"/>
          <w:b/>
          <w:i w:val="0"/>
          <w:sz w:val="20"/>
        </w:rPr>
        <w:t xml:space="preserve">8.8. </w:t>
      </w:r>
      <w:r>
        <w:rPr>
          <w:rFonts w:ascii="Arial" w:hAnsi="Arial" w:eastAsia="Arial" w:cs="Arial"/>
          <w:b w:val="0"/>
          <w:i w:val="0"/>
          <w:sz w:val="20"/>
        </w:rPr>
        <w:t>Mentorii pot ajusta componența grupelor pe parcursul programului atunci când această măsură servește progresului elevilor. Părinții/tutorii sunt informați cu privire la schimbările relevante.</w:t>
      </w:r>
    </w:p>
    <w:p>
      <w:pPr>
        <w:keepNext/>
        <w:spacing w:after="50" w:before="120" w:line="254" w:lineRule="auto"/>
      </w:pPr>
      <w:r>
        <w:rPr>
          <w:rFonts w:ascii="Arial" w:hAnsi="Arial" w:eastAsia="Arial" w:cs="Arial"/>
          <w:b/>
          <w:i w:val="0"/>
          <w:sz w:val="23"/>
        </w:rPr>
        <w:t>9. Evaluarea și acordarea burselor</w:t>
      </w:r>
    </w:p>
    <w:p>
      <w:pPr>
        <w:keepNext w:val="0"/>
        <w:spacing w:after="46" w:before="0" w:line="254" w:lineRule="auto"/>
        <w:ind w:left="351" w:hanging="351"/>
      </w:pPr>
      <w:r>
        <w:rPr>
          <w:rFonts w:ascii="Arial" w:hAnsi="Arial" w:eastAsia="Arial" w:cs="Arial"/>
          <w:b/>
          <w:i w:val="0"/>
          <w:sz w:val="20"/>
        </w:rPr>
        <w:t xml:space="preserve">9.1. </w:t>
      </w:r>
      <w:r>
        <w:rPr>
          <w:rFonts w:ascii="Arial" w:hAnsi="Arial" w:eastAsia="Arial" w:cs="Arial"/>
          <w:b w:val="0"/>
          <w:i w:val="0"/>
          <w:sz w:val="20"/>
        </w:rPr>
        <w:t>Evaluarea pentru bursă este separată de admitere și are loc după stabilirea candidaților eligibili pentru program.</w:t>
      </w:r>
    </w:p>
    <w:p>
      <w:pPr>
        <w:keepNext w:val="0"/>
        <w:spacing w:after="46" w:before="0" w:line="254" w:lineRule="auto"/>
        <w:ind w:left="351" w:hanging="351"/>
      </w:pPr>
      <w:r>
        <w:rPr>
          <w:rFonts w:ascii="Arial" w:hAnsi="Arial" w:eastAsia="Arial" w:cs="Arial"/>
          <w:b/>
          <w:i w:val="0"/>
          <w:sz w:val="20"/>
        </w:rPr>
        <w:t xml:space="preserve">9.2. </w:t>
      </w:r>
      <w:r>
        <w:rPr>
          <w:rFonts w:ascii="Arial" w:hAnsi="Arial" w:eastAsia="Arial" w:cs="Arial"/>
          <w:b w:val="0"/>
          <w:i w:val="0"/>
          <w:sz w:val="20"/>
        </w:rPr>
        <w:t>Faptul că un candidat solicită sau nu solicită bursă nu este comunicat evaluatorilor testului scris și ai probei practice.</w:t>
      </w:r>
    </w:p>
    <w:p>
      <w:pPr>
        <w:keepNext w:val="0"/>
        <w:spacing w:after="46" w:before="0" w:line="254" w:lineRule="auto"/>
        <w:ind w:left="351" w:hanging="351"/>
      </w:pPr>
      <w:r>
        <w:rPr>
          <w:rFonts w:ascii="Arial" w:hAnsi="Arial" w:eastAsia="Arial" w:cs="Arial"/>
          <w:b/>
          <w:i w:val="0"/>
          <w:sz w:val="20"/>
        </w:rPr>
        <w:t xml:space="preserve">9.3. </w:t>
      </w:r>
      <w:r>
        <w:rPr>
          <w:rFonts w:ascii="Arial" w:hAnsi="Arial" w:eastAsia="Arial" w:cs="Arial"/>
          <w:b w:val="0"/>
          <w:i w:val="0"/>
          <w:sz w:val="20"/>
        </w:rPr>
        <w:t>Numărul burselor integrale, procentele burselor parțiale și fondul disponibil sunt publicate înainte de deschiderea aplicațiilor.</w:t>
      </w:r>
    </w:p>
    <w:p>
      <w:pPr>
        <w:keepNext w:val="0"/>
        <w:spacing w:after="60" w:before="0" w:line="254" w:lineRule="auto"/>
      </w:pPr>
      <w:r>
        <w:rPr>
          <w:rFonts w:ascii="Arial" w:hAnsi="Arial" w:eastAsia="Arial" w:cs="Arial"/>
          <w:b/>
          <w:i w:val="0"/>
          <w:sz w:val="19"/>
        </w:rPr>
        <w:t xml:space="preserve">9.4. Bursa de merit: </w:t>
      </w:r>
      <w:r>
        <w:rPr>
          <w:rFonts w:ascii="Arial" w:hAnsi="Arial" w:eastAsia="Arial" w:cs="Arial"/>
          <w:b w:val="0"/>
          <w:i w:val="0"/>
          <w:sz w:val="19"/>
        </w:rPr>
        <w:t>se acordă în ordinea descrescătoare a scorului final candidaților care au solicitat evaluarea pentru bursă și au obținut minimum 80/100. În caz de egalitate se aplică regulile din pct. 8.2.</w:t>
      </w:r>
    </w:p>
    <w:p>
      <w:pPr>
        <w:keepNext w:val="0"/>
        <w:spacing w:after="60" w:before="0" w:line="254" w:lineRule="auto"/>
      </w:pPr>
      <w:r>
        <w:rPr>
          <w:rFonts w:ascii="Arial" w:hAnsi="Arial" w:eastAsia="Arial" w:cs="Arial"/>
          <w:b/>
          <w:i w:val="0"/>
          <w:sz w:val="19"/>
        </w:rPr>
        <w:t xml:space="preserve">9.5. Bursa de necesitate: </w:t>
      </w:r>
      <w:r>
        <w:rPr>
          <w:rFonts w:ascii="Arial" w:hAnsi="Arial" w:eastAsia="Arial" w:cs="Arial"/>
          <w:b w:val="0"/>
          <w:i w:val="0"/>
          <w:sz w:val="19"/>
        </w:rPr>
        <w:t>poate fi acordată numai unui candidat care a îndeplinit pragurile academice de admitere. Evaluarea situației se bazează exclusiv pe documente și pe grila de mai jos.</w:t>
      </w:r>
    </w:p>
    <w:tbl>
      <w:tblPr>
        <w:tblStyle w:val="TableGrid"/>
        <w:tblW w:type="auto" w:w="0"/>
        <w:jc w:val="center"/>
        <w:tblLayout w:type="fixed"/>
        <w:tblLook w:firstColumn="1" w:firstRow="1" w:lastColumn="0" w:lastRow="0" w:noHBand="0" w:noVBand="1" w:val="04A0"/>
      </w:tblPr>
      <w:tblGrid>
        <w:gridCol w:w="3345"/>
        <w:gridCol w:w="3345"/>
        <w:gridCol w:w="3345"/>
      </w:tblGrid>
      <w:tr>
        <w:trPr>
          <w:tblHeader w:val="true"/>
        </w:trPr>
        <w:tc>
          <w:tcPr>
            <w:tcW w:type="dxa" w:w="5102"/>
            <w:tcMar>
              <w:top w:w="75" w:type="dxa"/>
              <w:start w:w="85" w:type="dxa"/>
              <w:bottom w:w="75" w:type="dxa"/>
              <w:end w:w="85" w:type="dxa"/>
            </w:tcMar>
            <w:shd w:fill="E7E7E7"/>
            <w:vAlign w:val="center"/>
          </w:tcPr>
          <w:p>
            <w:pPr>
              <w:keepNext w:val="0"/>
              <w:spacing w:after="0" w:before="0" w:line="240" w:lineRule="auto"/>
              <w:jc w:val="center"/>
            </w:pPr>
            <w:r>
              <w:rPr>
                <w:rFonts w:ascii="Arial" w:hAnsi="Arial" w:eastAsia="Arial" w:cs="Arial"/>
                <w:b/>
                <w:i w:val="0"/>
                <w:sz w:val="17"/>
              </w:rPr>
              <w:t>Criteriu pentru bursa de necesitate</w:t>
            </w:r>
          </w:p>
        </w:tc>
        <w:tc>
          <w:tcPr>
            <w:tcW w:type="dxa" w:w="1701"/>
            <w:tcMar>
              <w:top w:w="75" w:type="dxa"/>
              <w:start w:w="85" w:type="dxa"/>
              <w:bottom w:w="75" w:type="dxa"/>
              <w:end w:w="85" w:type="dxa"/>
            </w:tcMar>
            <w:shd w:fill="E7E7E7"/>
            <w:vAlign w:val="center"/>
          </w:tcPr>
          <w:p>
            <w:pPr>
              <w:keepNext w:val="0"/>
              <w:spacing w:after="0" w:before="0" w:line="240" w:lineRule="auto"/>
              <w:jc w:val="center"/>
            </w:pPr>
            <w:r>
              <w:rPr>
                <w:rFonts w:ascii="Arial" w:hAnsi="Arial" w:eastAsia="Arial" w:cs="Arial"/>
                <w:b/>
                <w:i w:val="0"/>
                <w:sz w:val="17"/>
              </w:rPr>
              <w:t>Punctaj maxim</w:t>
            </w:r>
          </w:p>
        </w:tc>
        <w:tc>
          <w:tcPr>
            <w:tcW w:type="dxa" w:w="3118"/>
            <w:tcMar>
              <w:top w:w="75" w:type="dxa"/>
              <w:start w:w="85" w:type="dxa"/>
              <w:bottom w:w="75" w:type="dxa"/>
              <w:end w:w="85" w:type="dxa"/>
            </w:tcMar>
            <w:shd w:fill="E7E7E7"/>
            <w:vAlign w:val="center"/>
          </w:tcPr>
          <w:p>
            <w:pPr>
              <w:keepNext w:val="0"/>
              <w:spacing w:after="0" w:before="0" w:line="240" w:lineRule="auto"/>
              <w:jc w:val="center"/>
            </w:pPr>
            <w:r>
              <w:rPr>
                <w:rFonts w:ascii="Arial" w:hAnsi="Arial" w:eastAsia="Arial" w:cs="Arial"/>
                <w:b/>
                <w:i w:val="0"/>
                <w:sz w:val="17"/>
              </w:rPr>
              <w:t>Documentare</w:t>
            </w:r>
          </w:p>
        </w:tc>
      </w:tr>
      <w:tr>
        <w:trPr>
          <w:cantSplit/>
        </w:trPr>
        <w:tc>
          <w:tcPr>
            <w:tcW w:type="dxa" w:w="5102"/>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Venitul disponibil raportat la numărul membrilor familiei</w:t>
            </w:r>
          </w:p>
        </w:tc>
        <w:tc>
          <w:tcPr>
            <w:tcW w:type="dxa" w:w="1701"/>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50</w:t>
            </w:r>
          </w:p>
        </w:tc>
        <w:tc>
          <w:tcPr>
            <w:tcW w:type="dxa" w:w="3118"/>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Acte de venit și componența familiei</w:t>
            </w:r>
          </w:p>
        </w:tc>
      </w:tr>
      <w:tr>
        <w:trPr>
          <w:cantSplit/>
        </w:trPr>
        <w:tc>
          <w:tcPr>
            <w:tcW w:type="dxa" w:w="5102"/>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Numărul persoanelor aflate în întreținere</w:t>
            </w:r>
          </w:p>
        </w:tc>
        <w:tc>
          <w:tcPr>
            <w:tcW w:type="dxa" w:w="1701"/>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15</w:t>
            </w:r>
          </w:p>
        </w:tc>
        <w:tc>
          <w:tcPr>
            <w:tcW w:type="dxa" w:w="3118"/>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Documente privind componența familiei</w:t>
            </w:r>
          </w:p>
        </w:tc>
      </w:tr>
      <w:tr>
        <w:trPr>
          <w:cantSplit/>
        </w:trPr>
        <w:tc>
          <w:tcPr>
            <w:tcW w:type="dxa" w:w="5102"/>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Familie monoparentală, tutelă sau alte responsabilități familiale relevante</w:t>
            </w:r>
          </w:p>
        </w:tc>
        <w:tc>
          <w:tcPr>
            <w:tcW w:type="dxa" w:w="1701"/>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15</w:t>
            </w:r>
          </w:p>
        </w:tc>
        <w:tc>
          <w:tcPr>
            <w:tcW w:type="dxa" w:w="3118"/>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Acte justificative aplicabile</w:t>
            </w:r>
          </w:p>
        </w:tc>
      </w:tr>
      <w:tr>
        <w:trPr>
          <w:cantSplit/>
        </w:trPr>
        <w:tc>
          <w:tcPr>
            <w:tcW w:type="dxa" w:w="5102"/>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Cheltuieli medicale, dizabilitate ori alte circumstanțe sociale excepționale</w:t>
            </w:r>
          </w:p>
        </w:tc>
        <w:tc>
          <w:tcPr>
            <w:tcW w:type="dxa" w:w="1701"/>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20</w:t>
            </w:r>
          </w:p>
        </w:tc>
        <w:tc>
          <w:tcPr>
            <w:tcW w:type="dxa" w:w="3118"/>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7"/>
              </w:rPr>
              <w:t>Documente justificative relevante</w:t>
            </w:r>
          </w:p>
        </w:tc>
      </w:tr>
    </w:tbl>
    <w:p>
      <w:pPr>
        <w:keepNext w:val="0"/>
        <w:spacing w:after="46" w:before="0" w:line="254" w:lineRule="auto"/>
        <w:ind w:left="351" w:hanging="351"/>
      </w:pPr>
      <w:r>
        <w:rPr>
          <w:rFonts w:ascii="Arial" w:hAnsi="Arial" w:eastAsia="Arial" w:cs="Arial"/>
          <w:b/>
          <w:i w:val="0"/>
          <w:sz w:val="20"/>
        </w:rPr>
        <w:t xml:space="preserve">9.6. </w:t>
      </w:r>
      <w:r>
        <w:rPr>
          <w:rFonts w:ascii="Arial" w:hAnsi="Arial" w:eastAsia="Arial" w:cs="Arial"/>
          <w:b w:val="0"/>
          <w:i w:val="0"/>
          <w:sz w:val="20"/>
        </w:rPr>
        <w:t>Benzile de punctaj pentru veniturile familiei și lista exactă a documentelor acceptate sunt publicate în apelul anual. Documentele sunt analizate confidențial numai de persoanele autorizate.</w:t>
      </w:r>
    </w:p>
    <w:p>
      <w:pPr>
        <w:keepNext w:val="0"/>
        <w:spacing w:after="46" w:before="0" w:line="254" w:lineRule="auto"/>
        <w:ind w:left="351" w:hanging="351"/>
      </w:pPr>
      <w:r>
        <w:rPr>
          <w:rFonts w:ascii="Arial" w:hAnsi="Arial" w:eastAsia="Arial" w:cs="Arial"/>
          <w:b/>
          <w:i w:val="0"/>
          <w:sz w:val="20"/>
        </w:rPr>
        <w:t xml:space="preserve">9.7. </w:t>
      </w:r>
      <w:r>
        <w:rPr>
          <w:rFonts w:ascii="Arial" w:hAnsi="Arial" w:eastAsia="Arial" w:cs="Arial"/>
          <w:b w:val="0"/>
          <w:i w:val="0"/>
          <w:sz w:val="20"/>
        </w:rPr>
        <w:t>Candidații care aleg „ambele” sunt evaluați separat pentru bursa de merit și pentru bursa de necesitate. Bursele nu se cumulează peste 100% din costul programului.</w:t>
      </w:r>
    </w:p>
    <w:p>
      <w:pPr>
        <w:keepNext w:val="0"/>
        <w:spacing w:after="46" w:before="0" w:line="254" w:lineRule="auto"/>
        <w:ind w:left="351" w:hanging="351"/>
      </w:pPr>
      <w:r>
        <w:rPr>
          <w:rFonts w:ascii="Arial" w:hAnsi="Arial" w:eastAsia="Arial" w:cs="Arial"/>
          <w:b/>
          <w:i w:val="0"/>
          <w:sz w:val="20"/>
        </w:rPr>
        <w:t xml:space="preserve">9.8. </w:t>
      </w:r>
      <w:r>
        <w:rPr>
          <w:rFonts w:ascii="Arial" w:hAnsi="Arial" w:eastAsia="Arial" w:cs="Arial"/>
          <w:b w:val="0"/>
          <w:i w:val="0"/>
          <w:sz w:val="20"/>
        </w:rPr>
        <w:t>Dacă fondurile nu permit acordarea tuturor burselor, acestea se oferă în ordinea clasamentului aplicabil fiecărei categorii. Candidaților admiși fără bursă li se oferă posibilitatea participării cu taxă, conform regulamentului financiar.</w:t>
      </w:r>
    </w:p>
    <w:p>
      <w:pPr>
        <w:keepNext w:val="0"/>
        <w:spacing w:after="46" w:before="0" w:line="254" w:lineRule="auto"/>
        <w:ind w:left="351" w:hanging="351"/>
      </w:pPr>
      <w:r>
        <w:rPr>
          <w:rFonts w:ascii="Arial" w:hAnsi="Arial" w:eastAsia="Arial" w:cs="Arial"/>
          <w:b/>
          <w:i w:val="0"/>
          <w:sz w:val="20"/>
        </w:rPr>
        <w:t xml:space="preserve">9.9. </w:t>
      </w:r>
      <w:r>
        <w:rPr>
          <w:rFonts w:ascii="Arial" w:hAnsi="Arial" w:eastAsia="Arial" w:cs="Arial"/>
          <w:b w:val="0"/>
          <w:i w:val="0"/>
          <w:sz w:val="20"/>
        </w:rPr>
        <w:t>Orice document fals sau informație material incorectă poate conduce la retragerea bursei și/sau a locului, după solicitarea unei explicații din partea familiei.</w:t>
      </w:r>
    </w:p>
    <w:p>
      <w:pPr>
        <w:keepNext/>
        <w:spacing w:after="50" w:before="120" w:line="254" w:lineRule="auto"/>
      </w:pPr>
      <w:r>
        <w:rPr>
          <w:rFonts w:ascii="Arial" w:hAnsi="Arial" w:eastAsia="Arial" w:cs="Arial"/>
          <w:b/>
          <w:i w:val="0"/>
          <w:sz w:val="23"/>
        </w:rPr>
        <w:t>10. Comunicarea și publicarea rezultatelor</w:t>
      </w:r>
    </w:p>
    <w:p>
      <w:pPr>
        <w:keepNext w:val="0"/>
        <w:spacing w:after="46" w:before="0" w:line="254" w:lineRule="auto"/>
        <w:ind w:left="351" w:hanging="351"/>
      </w:pPr>
      <w:r>
        <w:rPr>
          <w:rFonts w:ascii="Arial" w:hAnsi="Arial" w:eastAsia="Arial" w:cs="Arial"/>
          <w:b/>
          <w:i w:val="0"/>
          <w:sz w:val="20"/>
        </w:rPr>
        <w:t xml:space="preserve">10.1. </w:t>
      </w:r>
      <w:r>
        <w:rPr>
          <w:rFonts w:ascii="Arial" w:hAnsi="Arial" w:eastAsia="Arial" w:cs="Arial"/>
          <w:b w:val="0"/>
          <w:i w:val="0"/>
          <w:sz w:val="20"/>
        </w:rPr>
        <w:t>Fiecărui candidat îi este atribuit un cod unic folosit la publicarea rezultatelor.</w:t>
      </w:r>
    </w:p>
    <w:p>
      <w:pPr>
        <w:keepNext w:val="0"/>
        <w:spacing w:after="46" w:before="0" w:line="254" w:lineRule="auto"/>
        <w:ind w:left="351" w:hanging="351"/>
      </w:pPr>
      <w:r>
        <w:rPr>
          <w:rFonts w:ascii="Arial" w:hAnsi="Arial" w:eastAsia="Arial" w:cs="Arial"/>
          <w:b/>
          <w:i w:val="0"/>
          <w:sz w:val="20"/>
        </w:rPr>
        <w:t xml:space="preserve">10.2. </w:t>
      </w:r>
      <w:r>
        <w:rPr>
          <w:rFonts w:ascii="Arial" w:hAnsi="Arial" w:eastAsia="Arial" w:cs="Arial"/>
          <w:b w:val="0"/>
          <w:i w:val="0"/>
          <w:sz w:val="20"/>
        </w:rPr>
        <w:t>Clasamentul provizoriu publicat conține: codul candidatului, scorul testului scris, scorul probei practice, scorul interviului, scorul dosarului, scorul final și statutul.</w:t>
      </w:r>
    </w:p>
    <w:p>
      <w:pPr>
        <w:keepNext w:val="0"/>
        <w:spacing w:after="46" w:before="0" w:line="254" w:lineRule="auto"/>
        <w:ind w:left="351" w:hanging="351"/>
      </w:pPr>
      <w:r>
        <w:rPr>
          <w:rFonts w:ascii="Arial" w:hAnsi="Arial" w:eastAsia="Arial" w:cs="Arial"/>
          <w:b/>
          <w:i w:val="0"/>
          <w:sz w:val="20"/>
        </w:rPr>
        <w:t xml:space="preserve">10.3. </w:t>
      </w:r>
      <w:r>
        <w:rPr>
          <w:rFonts w:ascii="Arial" w:hAnsi="Arial" w:eastAsia="Arial" w:cs="Arial"/>
          <w:b w:val="0"/>
          <w:i w:val="0"/>
          <w:sz w:val="20"/>
        </w:rPr>
        <w:t>Decizia privind bursa se comunică individual, deoarece poate conține date financiare sau sociale confidențiale.</w:t>
      </w:r>
    </w:p>
    <w:p>
      <w:pPr>
        <w:keepNext w:val="0"/>
        <w:spacing w:after="46" w:before="0" w:line="254" w:lineRule="auto"/>
        <w:ind w:left="351" w:hanging="351"/>
      </w:pPr>
      <w:r>
        <w:rPr>
          <w:rFonts w:ascii="Arial" w:hAnsi="Arial" w:eastAsia="Arial" w:cs="Arial"/>
          <w:b/>
          <w:i w:val="0"/>
          <w:sz w:val="20"/>
        </w:rPr>
        <w:t xml:space="preserve">10.4. </w:t>
      </w:r>
      <w:r>
        <w:rPr>
          <w:rFonts w:ascii="Arial" w:hAnsi="Arial" w:eastAsia="Arial" w:cs="Arial"/>
          <w:b w:val="0"/>
          <w:i w:val="0"/>
          <w:sz w:val="20"/>
        </w:rPr>
        <w:t>Candidatul/părintele poate solicita fișa individuală de punctaj și explicații privind criteriile la care au fost pierdute puncte.</w:t>
      </w:r>
    </w:p>
    <w:p>
      <w:pPr>
        <w:keepNext w:val="0"/>
        <w:spacing w:after="46" w:before="0" w:line="254" w:lineRule="auto"/>
        <w:ind w:left="351" w:hanging="351"/>
      </w:pPr>
      <w:r>
        <w:rPr>
          <w:rFonts w:ascii="Arial" w:hAnsi="Arial" w:eastAsia="Arial" w:cs="Arial"/>
          <w:b/>
          <w:i w:val="0"/>
          <w:sz w:val="20"/>
        </w:rPr>
        <w:t xml:space="preserve">10.5. </w:t>
      </w:r>
      <w:r>
        <w:rPr>
          <w:rFonts w:ascii="Arial" w:hAnsi="Arial" w:eastAsia="Arial" w:cs="Arial"/>
          <w:b w:val="0"/>
          <w:i w:val="0"/>
          <w:sz w:val="20"/>
        </w:rPr>
        <w:t>Rezultatele finale sunt publicate după soluționarea contestațiilor.</w:t>
      </w:r>
    </w:p>
    <w:p>
      <w:pPr>
        <w:keepNext/>
        <w:spacing w:after="50" w:before="120" w:line="254" w:lineRule="auto"/>
      </w:pPr>
      <w:r>
        <w:rPr>
          <w:rFonts w:ascii="Arial" w:hAnsi="Arial" w:eastAsia="Arial" w:cs="Arial"/>
          <w:b/>
          <w:i w:val="0"/>
          <w:sz w:val="23"/>
        </w:rPr>
        <w:t>11. Contestații</w:t>
      </w:r>
    </w:p>
    <w:p>
      <w:pPr>
        <w:keepNext w:val="0"/>
        <w:spacing w:after="46" w:before="0" w:line="254" w:lineRule="auto"/>
        <w:ind w:left="351" w:hanging="351"/>
      </w:pPr>
      <w:r>
        <w:rPr>
          <w:rFonts w:ascii="Arial" w:hAnsi="Arial" w:eastAsia="Arial" w:cs="Arial"/>
          <w:b/>
          <w:i w:val="0"/>
          <w:sz w:val="20"/>
        </w:rPr>
        <w:t xml:space="preserve">11.1. </w:t>
      </w:r>
      <w:r>
        <w:rPr>
          <w:rFonts w:ascii="Arial" w:hAnsi="Arial" w:eastAsia="Arial" w:cs="Arial"/>
          <w:b w:val="0"/>
          <w:i w:val="0"/>
          <w:sz w:val="20"/>
        </w:rPr>
        <w:t>Contestația poate fi depusă în maximum 48 de ore de la comunicarea rezultatului provizoriu, prin canalul indicat în apel.</w:t>
      </w:r>
    </w:p>
    <w:p>
      <w:pPr>
        <w:keepNext w:val="0"/>
        <w:spacing w:after="46" w:before="0" w:line="254" w:lineRule="auto"/>
        <w:ind w:left="351" w:hanging="351"/>
      </w:pPr>
      <w:r>
        <w:rPr>
          <w:rFonts w:ascii="Arial" w:hAnsi="Arial" w:eastAsia="Arial" w:cs="Arial"/>
          <w:b/>
          <w:i w:val="0"/>
          <w:sz w:val="20"/>
        </w:rPr>
        <w:t xml:space="preserve">11.2. </w:t>
      </w:r>
      <w:r>
        <w:rPr>
          <w:rFonts w:ascii="Arial" w:hAnsi="Arial" w:eastAsia="Arial" w:cs="Arial"/>
          <w:b w:val="0"/>
          <w:i w:val="0"/>
          <w:sz w:val="20"/>
        </w:rPr>
        <w:t>Contestația trebuie să indice codul candidatului, etapa contestată și motivul concret: eroare de calcul, nerespectarea procedurii, conflict de interese sau neconcordanță între răspuns și punctaj.</w:t>
      </w:r>
    </w:p>
    <w:p>
      <w:pPr>
        <w:keepNext w:val="0"/>
        <w:spacing w:after="46" w:before="0" w:line="254" w:lineRule="auto"/>
        <w:ind w:left="351" w:hanging="351"/>
      </w:pPr>
      <w:r>
        <w:rPr>
          <w:rFonts w:ascii="Arial" w:hAnsi="Arial" w:eastAsia="Arial" w:cs="Arial"/>
          <w:b/>
          <w:i w:val="0"/>
          <w:sz w:val="20"/>
        </w:rPr>
        <w:t xml:space="preserve">11.3. </w:t>
      </w:r>
      <w:r>
        <w:rPr>
          <w:rFonts w:ascii="Arial" w:hAnsi="Arial" w:eastAsia="Arial" w:cs="Arial"/>
          <w:b w:val="0"/>
          <w:i w:val="0"/>
          <w:sz w:val="20"/>
        </w:rPr>
        <w:t>Contestațiile sunt examinate de persoane care nu au acordat punctajul inițial. Rezultatul se comunică motivat în maximum 5 zile lucrătoare.</w:t>
      </w:r>
    </w:p>
    <w:p>
      <w:pPr>
        <w:keepNext w:val="0"/>
        <w:spacing w:after="46" w:before="0" w:line="254" w:lineRule="auto"/>
        <w:ind w:left="351" w:hanging="351"/>
      </w:pPr>
      <w:r>
        <w:rPr>
          <w:rFonts w:ascii="Arial" w:hAnsi="Arial" w:eastAsia="Arial" w:cs="Arial"/>
          <w:b/>
          <w:i w:val="0"/>
          <w:sz w:val="20"/>
        </w:rPr>
        <w:t xml:space="preserve">11.4. </w:t>
      </w:r>
      <w:r>
        <w:rPr>
          <w:rFonts w:ascii="Arial" w:hAnsi="Arial" w:eastAsia="Arial" w:cs="Arial"/>
          <w:b w:val="0"/>
          <w:i w:val="0"/>
          <w:sz w:val="20"/>
        </w:rPr>
        <w:t>Reevaluarea poate menține, majora sau reduce punctajul. Punctajul rezultat după soluționarea contestației este final.</w:t>
      </w:r>
    </w:p>
    <w:p>
      <w:pPr>
        <w:keepNext/>
        <w:spacing w:after="50" w:before="120" w:line="254" w:lineRule="auto"/>
      </w:pPr>
      <w:r>
        <w:rPr>
          <w:rFonts w:ascii="Arial" w:hAnsi="Arial" w:eastAsia="Arial" w:cs="Arial"/>
          <w:b/>
          <w:i w:val="0"/>
          <w:sz w:val="23"/>
        </w:rPr>
        <w:t>12. Integritatea procesului</w:t>
      </w:r>
    </w:p>
    <w:p>
      <w:pPr>
        <w:keepNext w:val="0"/>
        <w:spacing w:after="46" w:before="0" w:line="254" w:lineRule="auto"/>
        <w:ind w:left="351" w:hanging="351"/>
      </w:pPr>
      <w:r>
        <w:rPr>
          <w:rFonts w:ascii="Arial" w:hAnsi="Arial" w:eastAsia="Arial" w:cs="Arial"/>
          <w:b/>
          <w:i w:val="0"/>
          <w:sz w:val="20"/>
        </w:rPr>
        <w:t xml:space="preserve">12.1. </w:t>
      </w:r>
      <w:r>
        <w:rPr>
          <w:rFonts w:ascii="Arial" w:hAnsi="Arial" w:eastAsia="Arial" w:cs="Arial"/>
          <w:b w:val="0"/>
          <w:i w:val="0"/>
          <w:sz w:val="20"/>
        </w:rPr>
        <w:t>Copierea, utilizarea ajutorului neautorizat, substituirea persoanei sau divulgarea subiectelor înainte de probă conduc la eliminare, pe baza unui incident consemnat.</w:t>
      </w:r>
    </w:p>
    <w:p>
      <w:pPr>
        <w:keepNext w:val="0"/>
        <w:spacing w:after="46" w:before="0" w:line="254" w:lineRule="auto"/>
        <w:ind w:left="351" w:hanging="351"/>
      </w:pPr>
      <w:r>
        <w:rPr>
          <w:rFonts w:ascii="Arial" w:hAnsi="Arial" w:eastAsia="Arial" w:cs="Arial"/>
          <w:b/>
          <w:i w:val="0"/>
          <w:sz w:val="20"/>
        </w:rPr>
        <w:t xml:space="preserve">12.2. </w:t>
      </w:r>
      <w:r>
        <w:rPr>
          <w:rFonts w:ascii="Arial" w:hAnsi="Arial" w:eastAsia="Arial" w:cs="Arial"/>
          <w:b w:val="0"/>
          <w:i w:val="0"/>
          <w:sz w:val="20"/>
        </w:rPr>
        <w:t>Candidatul și părintele au dreptul să ofere o explicație înaintea deciziei finale de eliminare.</w:t>
      </w:r>
    </w:p>
    <w:p>
      <w:pPr>
        <w:keepNext w:val="0"/>
        <w:spacing w:after="46" w:before="0" w:line="254" w:lineRule="auto"/>
        <w:ind w:left="351" w:hanging="351"/>
      </w:pPr>
      <w:r>
        <w:rPr>
          <w:rFonts w:ascii="Arial" w:hAnsi="Arial" w:eastAsia="Arial" w:cs="Arial"/>
          <w:b/>
          <w:i w:val="0"/>
          <w:sz w:val="20"/>
        </w:rPr>
        <w:t xml:space="preserve">12.3. </w:t>
      </w:r>
      <w:r>
        <w:rPr>
          <w:rFonts w:ascii="Arial" w:hAnsi="Arial" w:eastAsia="Arial" w:cs="Arial"/>
          <w:b w:val="0"/>
          <w:i w:val="0"/>
          <w:sz w:val="20"/>
        </w:rPr>
        <w:t>Subiectele, baremele, fișele de evaluare, procesele-verbale și contestațiile sunt păstrate conform procedurilor interne și informării privind protecția datelor, cel puțin până la încheierea procesului de selecție și a oricărui control sau audit aplicabil.</w:t>
      </w:r>
    </w:p>
    <w:p>
      <w:pPr>
        <w:keepNext/>
        <w:spacing w:after="50" w:before="120" w:line="254" w:lineRule="auto"/>
      </w:pPr>
      <w:r>
        <w:rPr>
          <w:rFonts w:ascii="Arial" w:hAnsi="Arial" w:eastAsia="Arial" w:cs="Arial"/>
          <w:b/>
          <w:i w:val="0"/>
          <w:sz w:val="23"/>
        </w:rPr>
        <w:t>13. Dispoziții finale</w:t>
      </w:r>
    </w:p>
    <w:p>
      <w:pPr>
        <w:keepNext w:val="0"/>
        <w:spacing w:after="46" w:before="0" w:line="254" w:lineRule="auto"/>
        <w:ind w:left="351" w:hanging="351"/>
      </w:pPr>
      <w:r>
        <w:rPr>
          <w:rFonts w:ascii="Arial" w:hAnsi="Arial" w:eastAsia="Arial" w:cs="Arial"/>
          <w:b/>
          <w:i w:val="0"/>
          <w:sz w:val="20"/>
        </w:rPr>
        <w:t xml:space="preserve">13.1. </w:t>
      </w:r>
      <w:r>
        <w:rPr>
          <w:rFonts w:ascii="Arial" w:hAnsi="Arial" w:eastAsia="Arial" w:cs="Arial"/>
          <w:b w:val="0"/>
          <w:i w:val="0"/>
          <w:sz w:val="20"/>
        </w:rPr>
        <w:t>Prezentul Regulament se completează cu apelul anual, regulamentul de participare și condițiile financiare ale programului.</w:t>
      </w:r>
    </w:p>
    <w:p>
      <w:pPr>
        <w:keepNext w:val="0"/>
        <w:spacing w:after="46" w:before="0" w:line="254" w:lineRule="auto"/>
        <w:ind w:left="351" w:hanging="351"/>
      </w:pPr>
      <w:r>
        <w:rPr>
          <w:rFonts w:ascii="Arial" w:hAnsi="Arial" w:eastAsia="Arial" w:cs="Arial"/>
          <w:b/>
          <w:i w:val="0"/>
          <w:sz w:val="20"/>
        </w:rPr>
        <w:t xml:space="preserve">13.2. </w:t>
      </w:r>
      <w:r>
        <w:rPr>
          <w:rFonts w:ascii="Arial" w:hAnsi="Arial" w:eastAsia="Arial" w:cs="Arial"/>
          <w:b w:val="0"/>
          <w:i w:val="0"/>
          <w:sz w:val="20"/>
        </w:rPr>
        <w:t>În cazul unei neconcordanțe, criteriile, ponderile și termenele publicate înainte de deschiderea apelului nu pot fi modificate retroactiv în defavoarea candidatului.</w:t>
      </w:r>
    </w:p>
    <w:p>
      <w:pPr>
        <w:keepNext w:val="0"/>
        <w:spacing w:after="46" w:before="0" w:line="254" w:lineRule="auto"/>
        <w:ind w:left="351" w:hanging="351"/>
      </w:pPr>
      <w:r>
        <w:rPr>
          <w:rFonts w:ascii="Arial" w:hAnsi="Arial" w:eastAsia="Arial" w:cs="Arial"/>
          <w:b/>
          <w:i w:val="0"/>
          <w:sz w:val="20"/>
        </w:rPr>
        <w:t xml:space="preserve">13.3. </w:t>
      </w:r>
      <w:r>
        <w:rPr>
          <w:rFonts w:ascii="Arial" w:hAnsi="Arial" w:eastAsia="Arial" w:cs="Arial"/>
          <w:b w:val="0"/>
          <w:i w:val="0"/>
          <w:sz w:val="20"/>
        </w:rPr>
        <w:t>Participarea la selecție presupune confirmarea că părintele/tutorele legal și candidatul au citit și au înțeles prezentul Regulament.</w:t>
      </w:r>
    </w:p>
    <w:p>
      <w:r>
        <w:br w:type="page"/>
      </w:r>
    </w:p>
    <w:p>
      <w:pPr>
        <w:keepNext/>
        <w:spacing w:after="50" w:before="120" w:line="254" w:lineRule="auto"/>
      </w:pPr>
      <w:r>
        <w:rPr>
          <w:rFonts w:ascii="Arial" w:hAnsi="Arial" w:eastAsia="Arial" w:cs="Arial"/>
          <w:b/>
          <w:i w:val="0"/>
          <w:sz w:val="23"/>
        </w:rPr>
        <w:t>Anexa 1. Fișa sintetică de evaluare</w:t>
      </w:r>
    </w:p>
    <w:tbl>
      <w:tblPr>
        <w:tblStyle w:val="TableGrid"/>
        <w:tblW w:type="auto" w:w="0"/>
        <w:jc w:val="center"/>
        <w:tblLayout w:type="fixed"/>
        <w:tblLook w:firstColumn="1" w:firstRow="1" w:lastColumn="0" w:lastRow="0" w:noHBand="0" w:noVBand="1" w:val="04A0"/>
      </w:tblPr>
      <w:tblGrid>
        <w:gridCol w:w="2509"/>
        <w:gridCol w:w="2509"/>
        <w:gridCol w:w="2509"/>
        <w:gridCol w:w="2509"/>
      </w:tblGrid>
      <w:tr>
        <w:trPr>
          <w:tblHeader w:val="true"/>
        </w:trPr>
        <w:tc>
          <w:tcPr>
            <w:tcW w:type="dxa" w:w="3969"/>
            <w:tcMar>
              <w:top w:w="75" w:type="dxa"/>
              <w:start w:w="85" w:type="dxa"/>
              <w:bottom w:w="75" w:type="dxa"/>
              <w:end w:w="85" w:type="dxa"/>
            </w:tcMar>
            <w:shd w:fill="E7E7E7"/>
            <w:vAlign w:val="center"/>
          </w:tcPr>
          <w:p>
            <w:pPr>
              <w:keepNext w:val="0"/>
              <w:spacing w:after="0" w:before="0" w:line="240" w:lineRule="auto"/>
              <w:jc w:val="center"/>
            </w:pPr>
            <w:r>
              <w:rPr>
                <w:rFonts w:ascii="Arial" w:hAnsi="Arial" w:eastAsia="Arial" w:cs="Arial"/>
                <w:b/>
                <w:i w:val="0"/>
                <w:sz w:val="18"/>
              </w:rPr>
              <w:t>Componentă</w:t>
            </w:r>
          </w:p>
        </w:tc>
        <w:tc>
          <w:tcPr>
            <w:tcW w:type="dxa" w:w="1984"/>
            <w:tcMar>
              <w:top w:w="75" w:type="dxa"/>
              <w:start w:w="85" w:type="dxa"/>
              <w:bottom w:w="75" w:type="dxa"/>
              <w:end w:w="85" w:type="dxa"/>
            </w:tcMar>
            <w:shd w:fill="E7E7E7"/>
            <w:vAlign w:val="center"/>
          </w:tcPr>
          <w:p>
            <w:pPr>
              <w:keepNext w:val="0"/>
              <w:spacing w:after="0" w:before="0" w:line="240" w:lineRule="auto"/>
              <w:jc w:val="center"/>
            </w:pPr>
            <w:r>
              <w:rPr>
                <w:rFonts w:ascii="Arial" w:hAnsi="Arial" w:eastAsia="Arial" w:cs="Arial"/>
                <w:b/>
                <w:i w:val="0"/>
                <w:sz w:val="18"/>
              </w:rPr>
              <w:t>Scor brut</w:t>
            </w:r>
          </w:p>
        </w:tc>
        <w:tc>
          <w:tcPr>
            <w:tcW w:type="dxa" w:w="1701"/>
            <w:tcMar>
              <w:top w:w="75" w:type="dxa"/>
              <w:start w:w="85" w:type="dxa"/>
              <w:bottom w:w="75" w:type="dxa"/>
              <w:end w:w="85" w:type="dxa"/>
            </w:tcMar>
            <w:shd w:fill="E7E7E7"/>
            <w:vAlign w:val="center"/>
          </w:tcPr>
          <w:p>
            <w:pPr>
              <w:keepNext w:val="0"/>
              <w:spacing w:after="0" w:before="0" w:line="240" w:lineRule="auto"/>
              <w:jc w:val="center"/>
            </w:pPr>
            <w:r>
              <w:rPr>
                <w:rFonts w:ascii="Arial" w:hAnsi="Arial" w:eastAsia="Arial" w:cs="Arial"/>
                <w:b/>
                <w:i w:val="0"/>
                <w:sz w:val="18"/>
              </w:rPr>
              <w:t>Pondere</w:t>
            </w:r>
          </w:p>
        </w:tc>
        <w:tc>
          <w:tcPr>
            <w:tcW w:type="dxa" w:w="2268"/>
            <w:tcMar>
              <w:top w:w="75" w:type="dxa"/>
              <w:start w:w="85" w:type="dxa"/>
              <w:bottom w:w="75" w:type="dxa"/>
              <w:end w:w="85" w:type="dxa"/>
            </w:tcMar>
            <w:shd w:fill="E7E7E7"/>
            <w:vAlign w:val="center"/>
          </w:tcPr>
          <w:p>
            <w:pPr>
              <w:keepNext w:val="0"/>
              <w:spacing w:after="0" w:before="0" w:line="240" w:lineRule="auto"/>
              <w:jc w:val="center"/>
            </w:pPr>
            <w:r>
              <w:rPr>
                <w:rFonts w:ascii="Arial" w:hAnsi="Arial" w:eastAsia="Arial" w:cs="Arial"/>
                <w:b/>
                <w:i w:val="0"/>
                <w:sz w:val="18"/>
              </w:rPr>
              <w:t>Scor ponderat</w:t>
            </w:r>
          </w:p>
        </w:tc>
      </w:tr>
      <w:tr>
        <w:trPr>
          <w:cantSplit/>
        </w:trPr>
        <w:tc>
          <w:tcPr>
            <w:tcW w:type="dxa" w:w="3969"/>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Test scris</w:t>
            </w:r>
          </w:p>
        </w:tc>
        <w:tc>
          <w:tcPr>
            <w:tcW w:type="dxa" w:w="1984"/>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____ / 100</w:t>
            </w:r>
          </w:p>
        </w:tc>
        <w:tc>
          <w:tcPr>
            <w:tcW w:type="dxa" w:w="1701"/>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40%</w:t>
            </w:r>
          </w:p>
        </w:tc>
        <w:tc>
          <w:tcPr>
            <w:tcW w:type="dxa" w:w="2268"/>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____ / 40</w:t>
            </w:r>
          </w:p>
        </w:tc>
      </w:tr>
      <w:tr>
        <w:trPr>
          <w:cantSplit/>
        </w:trPr>
        <w:tc>
          <w:tcPr>
            <w:tcW w:type="dxa" w:w="3969"/>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Probă practică</w:t>
            </w:r>
          </w:p>
        </w:tc>
        <w:tc>
          <w:tcPr>
            <w:tcW w:type="dxa" w:w="1984"/>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____ / 100</w:t>
            </w:r>
          </w:p>
        </w:tc>
        <w:tc>
          <w:tcPr>
            <w:tcW w:type="dxa" w:w="1701"/>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30%</w:t>
            </w:r>
          </w:p>
        </w:tc>
        <w:tc>
          <w:tcPr>
            <w:tcW w:type="dxa" w:w="2268"/>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____ / 30</w:t>
            </w:r>
          </w:p>
        </w:tc>
      </w:tr>
      <w:tr>
        <w:trPr>
          <w:cantSplit/>
        </w:trPr>
        <w:tc>
          <w:tcPr>
            <w:tcW w:type="dxa" w:w="3969"/>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Interviu</w:t>
            </w:r>
          </w:p>
        </w:tc>
        <w:tc>
          <w:tcPr>
            <w:tcW w:type="dxa" w:w="1984"/>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____ / 100</w:t>
            </w:r>
          </w:p>
        </w:tc>
        <w:tc>
          <w:tcPr>
            <w:tcW w:type="dxa" w:w="1701"/>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15%</w:t>
            </w:r>
          </w:p>
        </w:tc>
        <w:tc>
          <w:tcPr>
            <w:tcW w:type="dxa" w:w="2268"/>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____ / 15</w:t>
            </w:r>
          </w:p>
        </w:tc>
      </w:tr>
      <w:tr>
        <w:trPr>
          <w:cantSplit/>
        </w:trPr>
        <w:tc>
          <w:tcPr>
            <w:tcW w:type="dxa" w:w="3969"/>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Dosar școlar</w:t>
            </w:r>
          </w:p>
        </w:tc>
        <w:tc>
          <w:tcPr>
            <w:tcW w:type="dxa" w:w="1984"/>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____ / 100</w:t>
            </w:r>
          </w:p>
        </w:tc>
        <w:tc>
          <w:tcPr>
            <w:tcW w:type="dxa" w:w="1701"/>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15%</w:t>
            </w:r>
          </w:p>
        </w:tc>
        <w:tc>
          <w:tcPr>
            <w:tcW w:type="dxa" w:w="2268"/>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____ / 15</w:t>
            </w:r>
          </w:p>
        </w:tc>
      </w:tr>
      <w:tr>
        <w:trPr>
          <w:cantSplit/>
        </w:trPr>
        <w:tc>
          <w:tcPr>
            <w:tcW w:type="dxa" w:w="3969"/>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SCOR FINAL</w:t>
            </w:r>
          </w:p>
        </w:tc>
        <w:tc>
          <w:tcPr>
            <w:tcW w:type="dxa" w:w="1984"/>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r>
          </w:p>
        </w:tc>
        <w:tc>
          <w:tcPr>
            <w:tcW w:type="dxa" w:w="1701"/>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100%</w:t>
            </w:r>
          </w:p>
        </w:tc>
        <w:tc>
          <w:tcPr>
            <w:tcW w:type="dxa" w:w="2268"/>
            <w:tcMar>
              <w:top w:w="75" w:type="dxa"/>
              <w:start w:w="85" w:type="dxa"/>
              <w:bottom w:w="75" w:type="dxa"/>
              <w:end w:w="85" w:type="dxa"/>
            </w:tcMar>
            <w:vAlign w:val="top"/>
          </w:tcPr>
          <w:p>
            <w:pPr>
              <w:keepNext w:val="0"/>
              <w:spacing w:after="0" w:before="0" w:line="240" w:lineRule="auto"/>
            </w:pPr>
            <w:r>
              <w:rPr>
                <w:rFonts w:ascii="Arial" w:hAnsi="Arial" w:eastAsia="Arial" w:cs="Arial"/>
                <w:b w:val="0"/>
                <w:i w:val="0"/>
                <w:sz w:val="18"/>
              </w:rPr>
              <w:t>____ / 100</w:t>
            </w:r>
          </w:p>
        </w:tc>
      </w:tr>
    </w:tbl>
    <w:p>
      <w:pPr>
        <w:keepNext w:val="0"/>
        <w:spacing w:after="60" w:before="0" w:line="254" w:lineRule="auto"/>
      </w:pPr>
      <w:r>
        <w:rPr>
          <w:rFonts w:ascii="Arial" w:hAnsi="Arial" w:eastAsia="Arial" w:cs="Arial"/>
          <w:b/>
          <w:i w:val="0"/>
          <w:sz w:val="19"/>
        </w:rPr>
        <w:t xml:space="preserve">Praguri: </w:t>
      </w:r>
      <w:r>
        <w:rPr>
          <w:rFonts w:ascii="Arial" w:hAnsi="Arial" w:eastAsia="Arial" w:cs="Arial"/>
          <w:b w:val="0"/>
          <w:i w:val="0"/>
          <w:sz w:val="19"/>
        </w:rPr>
        <w:t>minimum 60/100 la testul scris; minimum 60/100 la proba practică; minimum 65/100 scor final.</w:t>
      </w:r>
    </w:p>
    <w:p>
      <w:pPr>
        <w:keepNext/>
        <w:spacing w:after="50" w:before="120" w:line="254" w:lineRule="auto"/>
      </w:pPr>
      <w:r>
        <w:rPr>
          <w:rFonts w:ascii="Arial" w:hAnsi="Arial" w:eastAsia="Arial" w:cs="Arial"/>
          <w:b/>
          <w:i w:val="0"/>
          <w:sz w:val="23"/>
        </w:rPr>
        <w:t>Anexa 2. Informații obligatorii în apelul anual</w:t>
      </w:r>
    </w:p>
    <w:p>
      <w:pPr>
        <w:keepNext w:val="0"/>
        <w:spacing w:after="30" w:before="0" w:line="254" w:lineRule="auto"/>
        <w:ind w:left="386" w:hanging="181"/>
      </w:pPr>
      <w:r>
        <w:rPr>
          <w:rFonts w:ascii="Arial" w:hAnsi="Arial" w:eastAsia="Arial" w:cs="Arial"/>
          <w:b/>
          <w:i w:val="0"/>
          <w:sz w:val="20"/>
        </w:rPr>
        <w:t xml:space="preserve">• </w:t>
      </w:r>
      <w:r>
        <w:rPr>
          <w:rFonts w:ascii="Arial" w:hAnsi="Arial" w:eastAsia="Arial" w:cs="Arial"/>
          <w:b w:val="0"/>
          <w:i w:val="0"/>
          <w:sz w:val="20"/>
        </w:rPr>
        <w:t>Numărul total de locuri și categoriile de vârstă, dacă sunt utilizate.</w:t>
      </w:r>
    </w:p>
    <w:p>
      <w:pPr>
        <w:keepNext w:val="0"/>
        <w:spacing w:after="30" w:before="0" w:line="254" w:lineRule="auto"/>
        <w:ind w:left="386" w:hanging="181"/>
      </w:pPr>
      <w:r>
        <w:rPr>
          <w:rFonts w:ascii="Arial" w:hAnsi="Arial" w:eastAsia="Arial" w:cs="Arial"/>
          <w:b/>
          <w:i w:val="0"/>
          <w:sz w:val="20"/>
        </w:rPr>
        <w:t xml:space="preserve">• </w:t>
      </w:r>
      <w:r>
        <w:rPr>
          <w:rFonts w:ascii="Arial" w:hAnsi="Arial" w:eastAsia="Arial" w:cs="Arial"/>
          <w:b w:val="0"/>
          <w:i w:val="0"/>
          <w:sz w:val="20"/>
        </w:rPr>
        <w:t>Numărul burselor integrale și parțiale și procentele finanțate.</w:t>
      </w:r>
    </w:p>
    <w:p>
      <w:pPr>
        <w:keepNext w:val="0"/>
        <w:spacing w:after="30" w:before="0" w:line="254" w:lineRule="auto"/>
        <w:ind w:left="386" w:hanging="181"/>
      </w:pPr>
      <w:r>
        <w:rPr>
          <w:rFonts w:ascii="Arial" w:hAnsi="Arial" w:eastAsia="Arial" w:cs="Arial"/>
          <w:b/>
          <w:i w:val="0"/>
          <w:sz w:val="20"/>
        </w:rPr>
        <w:t xml:space="preserve">• </w:t>
      </w:r>
      <w:r>
        <w:rPr>
          <w:rFonts w:ascii="Arial" w:hAnsi="Arial" w:eastAsia="Arial" w:cs="Arial"/>
          <w:b w:val="0"/>
          <w:i w:val="0"/>
          <w:sz w:val="20"/>
        </w:rPr>
        <w:t>Calendarul complet al etapelor și termenul contestațiilor.</w:t>
      </w:r>
    </w:p>
    <w:p>
      <w:pPr>
        <w:keepNext w:val="0"/>
        <w:spacing w:after="30" w:before="0" w:line="254" w:lineRule="auto"/>
        <w:ind w:left="386" w:hanging="181"/>
      </w:pPr>
      <w:r>
        <w:rPr>
          <w:rFonts w:ascii="Arial" w:hAnsi="Arial" w:eastAsia="Arial" w:cs="Arial"/>
          <w:b/>
          <w:i w:val="0"/>
          <w:sz w:val="20"/>
        </w:rPr>
        <w:t xml:space="preserve">• </w:t>
      </w:r>
      <w:r>
        <w:rPr>
          <w:rFonts w:ascii="Arial" w:hAnsi="Arial" w:eastAsia="Arial" w:cs="Arial"/>
          <w:b w:val="0"/>
          <w:i w:val="0"/>
          <w:sz w:val="20"/>
        </w:rPr>
        <w:t>Tematica, durata și formatul fiecărei probe.</w:t>
      </w:r>
    </w:p>
    <w:p>
      <w:pPr>
        <w:keepNext w:val="0"/>
        <w:spacing w:after="30" w:before="0" w:line="254" w:lineRule="auto"/>
        <w:ind w:left="386" w:hanging="181"/>
      </w:pPr>
      <w:r>
        <w:rPr>
          <w:rFonts w:ascii="Arial" w:hAnsi="Arial" w:eastAsia="Arial" w:cs="Arial"/>
          <w:b/>
          <w:i w:val="0"/>
          <w:sz w:val="20"/>
        </w:rPr>
        <w:t xml:space="preserve">• </w:t>
      </w:r>
      <w:r>
        <w:rPr>
          <w:rFonts w:ascii="Arial" w:hAnsi="Arial" w:eastAsia="Arial" w:cs="Arial"/>
          <w:b w:val="0"/>
          <w:i w:val="0"/>
          <w:sz w:val="20"/>
        </w:rPr>
        <w:t>Componența sau regulile de constituire a comisiei.</w:t>
      </w:r>
    </w:p>
    <w:p>
      <w:pPr>
        <w:keepNext w:val="0"/>
        <w:spacing w:after="30" w:before="0" w:line="254" w:lineRule="auto"/>
        <w:ind w:left="386" w:hanging="181"/>
      </w:pPr>
      <w:r>
        <w:rPr>
          <w:rFonts w:ascii="Arial" w:hAnsi="Arial" w:eastAsia="Arial" w:cs="Arial"/>
          <w:b/>
          <w:i w:val="0"/>
          <w:sz w:val="20"/>
        </w:rPr>
        <w:t xml:space="preserve">• </w:t>
      </w:r>
      <w:r>
        <w:rPr>
          <w:rFonts w:ascii="Arial" w:hAnsi="Arial" w:eastAsia="Arial" w:cs="Arial"/>
          <w:b w:val="0"/>
          <w:i w:val="0"/>
          <w:sz w:val="20"/>
        </w:rPr>
        <w:t>Lista documentelor pentru eligibilitate și bursă.</w:t>
      </w:r>
    </w:p>
    <w:p>
      <w:pPr>
        <w:keepNext w:val="0"/>
        <w:spacing w:after="30" w:before="0" w:line="254" w:lineRule="auto"/>
        <w:ind w:left="386" w:hanging="181"/>
      </w:pPr>
      <w:r>
        <w:rPr>
          <w:rFonts w:ascii="Arial" w:hAnsi="Arial" w:eastAsia="Arial" w:cs="Arial"/>
          <w:b/>
          <w:i w:val="0"/>
          <w:sz w:val="20"/>
        </w:rPr>
        <w:t xml:space="preserve">• </w:t>
      </w:r>
      <w:r>
        <w:rPr>
          <w:rFonts w:ascii="Arial" w:hAnsi="Arial" w:eastAsia="Arial" w:cs="Arial"/>
          <w:b w:val="0"/>
          <w:i w:val="0"/>
          <w:sz w:val="20"/>
        </w:rPr>
        <w:t>Canalele oficiale pentru întrebări, rezultate și contestații.</w:t>
      </w:r>
    </w:p>
    <w:p>
      <w:pPr>
        <w:keepNext w:val="0"/>
        <w:spacing w:after="0" w:before="200" w:line="254" w:lineRule="auto"/>
        <w:jc w:val="center"/>
      </w:pPr>
      <w:r>
        <w:rPr>
          <w:rFonts w:ascii="Arial" w:hAnsi="Arial" w:eastAsia="Arial" w:cs="Arial"/>
          <w:b w:val="0"/>
          <w:i/>
          <w:color w:val="505050"/>
          <w:sz w:val="17"/>
        </w:rPr>
        <w:t>Regulament supus aprobării organizatorului înainte de publicarea apelului de selecție.</w:t>
      </w:r>
    </w:p>
    <w:sectPr w:rsidR="00FC693F" w:rsidRPr="0006063C" w:rsidSect="00034616">
      <w:headerReference w:type="default" r:id="rId9"/>
      <w:footerReference w:type="default" r:id="rId10"/>
      <w:pgSz w:w="11906" w:h="16838"/>
      <w:pgMar w:top="850" w:right="935" w:bottom="794" w:left="935" w:header="34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s="Arial"/>
        <w:b w:val="0"/>
        <w:i w:val="0"/>
        <w:sz w:val="16"/>
      </w:rPr>
      <w:t xml:space="preserve">Pagina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eastAsia="Arial" w:cs="Arial"/>
        <w:b/>
        <w:i w:val="0"/>
        <w:color w:val="505050"/>
        <w:sz w:val="17"/>
      </w:rPr>
      <w:t>TEKWILL ACADEMY KIDS | TAK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4" w:lineRule="auto"/>
    </w:pPr>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